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8.png" ContentType="image/png"/>
  <Override PartName="/word/media/image3.jpeg" ContentType="image/jpeg"/>
  <Override PartName="/word/media/image4.png" ContentType="image/png"/>
  <Override PartName="/word/media/image5.emf" ContentType="image/x-emf"/>
  <Override PartName="/word/media/image6.png" ContentType="image/png"/>
  <Override PartName="/word/media/image7.png" ContentType="image/png"/>
  <Override PartName="/word/embeddings/oleObject1.xlsx" ContentType="application/vnd.openxmlformats-officedocument.spreadsheetml.sheet"/>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adpis"/>
        <w:jc w:val="center"/>
        <w:rPr>
          <w:b/>
          <w:b/>
        </w:rPr>
      </w:pPr>
      <w:r>
        <w:rPr>
          <w:b/>
        </w:rPr>
      </w:r>
    </w:p>
    <w:p>
      <w:pPr>
        <w:pStyle w:val="Nadpis"/>
        <w:jc w:val="center"/>
        <w:rPr/>
      </w:pPr>
      <w:r>
        <w:drawing>
          <wp:anchor behindDoc="1" distT="0" distB="0" distL="0" distR="0" simplePos="0" locked="0" layoutInCell="1" allowOverlap="1" relativeHeight="2">
            <wp:simplePos x="0" y="0"/>
            <wp:positionH relativeFrom="column">
              <wp:posOffset>-956945</wp:posOffset>
            </wp:positionH>
            <wp:positionV relativeFrom="paragraph">
              <wp:posOffset>-488315</wp:posOffset>
            </wp:positionV>
            <wp:extent cx="7557770" cy="10599420"/>
            <wp:effectExtent l="0" t="0" r="0" b="0"/>
            <wp:wrapNone/>
            <wp:docPr id="1" name="obráze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descr=""/>
                    <pic:cNvPicPr>
                      <a:picLocks noChangeAspect="1" noChangeArrowheads="1"/>
                    </pic:cNvPicPr>
                  </pic:nvPicPr>
                  <pic:blipFill>
                    <a:blip r:embed="rId2"/>
                    <a:srcRect l="-37" t="-28" r="-37" b="-28"/>
                    <a:stretch>
                      <a:fillRect/>
                    </a:stretch>
                  </pic:blipFill>
                  <pic:spPr bwMode="auto">
                    <a:xfrm>
                      <a:off x="0" y="0"/>
                      <a:ext cx="7557770" cy="10599420"/>
                    </a:xfrm>
                    <a:prstGeom prst="rect">
                      <a:avLst/>
                    </a:prstGeom>
                  </pic:spPr>
                </pic:pic>
              </a:graphicData>
            </a:graphic>
          </wp:anchor>
        </w:drawing>
      </w:r>
      <w:r>
        <w:rPr>
          <w:b/>
        </w:rPr>
        <w:t>T</w:t>
      </w:r>
      <w:r>
        <w:rPr>
          <w:b/>
        </w:rPr>
        <w:t xml:space="preserve">RANSFORMAČNÝ PLÁN </w:t>
        <w:br/>
        <w:t xml:space="preserve">DOMOVA SOCIÁLNYCH SLUŽIEB </w:t>
      </w:r>
    </w:p>
    <w:p>
      <w:pPr>
        <w:pStyle w:val="Nadpis"/>
        <w:jc w:val="center"/>
        <w:rPr/>
      </w:pPr>
      <w:r>
        <w:rPr>
          <w:b/>
          <w:color w:val="FF0000"/>
        </w:rPr>
        <w:t>LADOMERSKÁ VIESKA</w:t>
      </w:r>
    </w:p>
    <w:p>
      <w:pPr>
        <w:pStyle w:val="Nadpis"/>
        <w:jc w:val="center"/>
        <w:rPr>
          <w:b/>
          <w:b/>
          <w:color w:val="FF0000"/>
        </w:rPr>
      </w:pPr>
      <w:r>
        <w:rPr>
          <w:b/>
          <w:color w:val="FF0000"/>
        </w:rPr>
      </w:r>
    </w:p>
    <w:p>
      <w:pPr>
        <w:pStyle w:val="Normal"/>
        <w:rPr/>
      </w:pPr>
      <w:r>
        <w:rPr>
          <w:rFonts w:cs="Calibri" w:ascii="Calibri" w:hAnsi="Calibri"/>
          <w:b/>
        </w:rPr>
        <w:t xml:space="preserve">                    </w:t>
      </w:r>
      <w:r>
        <w:rPr>
          <w:rFonts w:cs="Calibri" w:ascii="Calibri" w:hAnsi="Calibri"/>
          <w:b/>
        </w:rPr>
        <w:t>Aktualizovaná verzia  k 30.04.2021</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spacing w:lineRule="atLeast" w:line="22" w:before="0" w:after="160"/>
        <w:contextualSpacing/>
        <w:jc w:val="center"/>
        <w:rPr>
          <w:rFonts w:ascii="Arial" w:hAnsi="Arial" w:cs="Arial"/>
          <w:sz w:val="22"/>
        </w:rPr>
      </w:pPr>
      <w:r>
        <w:rPr>
          <w:rFonts w:cs="Arial" w:ascii="Arial" w:hAnsi="Arial"/>
          <w:sz w:val="22"/>
        </w:rPr>
      </w:r>
    </w:p>
    <w:p>
      <w:pPr>
        <w:pStyle w:val="Normal"/>
        <w:spacing w:lineRule="atLeast" w:line="22" w:before="0" w:after="160"/>
        <w:contextualSpacing/>
        <w:jc w:val="center"/>
        <w:rPr>
          <w:rFonts w:ascii="Arial" w:hAnsi="Arial" w:cs="Arial"/>
          <w:sz w:val="22"/>
        </w:rPr>
      </w:pPr>
      <w:r>
        <w:rPr>
          <w:rFonts w:cs="Arial" w:ascii="Arial" w:hAnsi="Arial"/>
          <w:sz w:val="22"/>
        </w:rPr>
      </w:r>
    </w:p>
    <w:p>
      <w:pPr>
        <w:pStyle w:val="Normal"/>
        <w:spacing w:lineRule="atLeast" w:line="22" w:before="0" w:after="160"/>
        <w:contextualSpacing/>
        <w:jc w:val="center"/>
        <w:rPr>
          <w:rFonts w:ascii="Arial" w:hAnsi="Arial" w:cs="Arial"/>
          <w:sz w:val="22"/>
        </w:rPr>
      </w:pPr>
      <w:r>
        <w:rPr>
          <w:rFonts w:cs="Arial" w:ascii="Arial" w:hAnsi="Arial"/>
          <w:sz w:val="22"/>
        </w:rPr>
      </w:r>
    </w:p>
    <w:p>
      <w:pPr>
        <w:pStyle w:val="Normal"/>
        <w:spacing w:lineRule="atLeast" w:line="22" w:before="0" w:after="160"/>
        <w:contextualSpacing/>
        <w:jc w:val="center"/>
        <w:rPr>
          <w:rFonts w:ascii="Arial" w:hAnsi="Arial" w:cs="Arial"/>
          <w:sz w:val="22"/>
        </w:rPr>
      </w:pPr>
      <w:r>
        <w:rPr>
          <w:rFonts w:cs="Arial" w:ascii="Arial" w:hAnsi="Arial"/>
          <w:sz w:val="22"/>
        </w:rPr>
      </w:r>
    </w:p>
    <w:p>
      <w:pPr>
        <w:pStyle w:val="Normal"/>
        <w:spacing w:lineRule="atLeast" w:line="22" w:before="0" w:after="160"/>
        <w:contextualSpacing/>
        <w:jc w:val="center"/>
        <w:rPr>
          <w:rFonts w:ascii="Arial" w:hAnsi="Arial" w:cs="Arial"/>
          <w:sz w:val="22"/>
        </w:rPr>
      </w:pPr>
      <w:r>
        <w:rPr>
          <w:rFonts w:cs="Arial" w:ascii="Arial" w:hAnsi="Arial"/>
          <w:sz w:val="22"/>
        </w:rPr>
      </w:r>
    </w:p>
    <w:p>
      <w:pPr>
        <w:pStyle w:val="Normal"/>
        <w:spacing w:lineRule="atLeast" w:line="22" w:before="0" w:after="160"/>
        <w:contextualSpacing/>
        <w:jc w:val="center"/>
        <w:rPr>
          <w:rFonts w:ascii="Arial" w:hAnsi="Arial" w:cs="Arial"/>
          <w:sz w:val="22"/>
        </w:rPr>
      </w:pPr>
      <w:r>
        <w:rPr>
          <w:rFonts w:cs="Arial" w:ascii="Arial" w:hAnsi="Arial"/>
          <w:sz w:val="22"/>
        </w:rPr>
      </w:r>
    </w:p>
    <w:p>
      <w:pPr>
        <w:pStyle w:val="Normal"/>
        <w:spacing w:lineRule="atLeast" w:line="22" w:before="0" w:after="160"/>
        <w:contextualSpacing/>
        <w:jc w:val="center"/>
        <w:rPr>
          <w:rFonts w:ascii="Arial" w:hAnsi="Arial" w:cs="Arial"/>
          <w:sz w:val="22"/>
        </w:rPr>
      </w:pPr>
      <w:r>
        <w:rPr>
          <w:rFonts w:cs="Arial" w:ascii="Arial" w:hAnsi="Arial"/>
          <w:sz w:val="22"/>
        </w:rPr>
      </w:r>
    </w:p>
    <w:p>
      <w:pPr>
        <w:pStyle w:val="Normal"/>
        <w:spacing w:lineRule="atLeast" w:line="22" w:before="0" w:after="160"/>
        <w:contextualSpacing/>
        <w:jc w:val="center"/>
        <w:rPr>
          <w:rFonts w:ascii="Arial" w:hAnsi="Arial" w:cs="Arial"/>
          <w:sz w:val="22"/>
        </w:rPr>
      </w:pPr>
      <w:r>
        <w:rPr>
          <w:rFonts w:cs="Arial" w:ascii="Arial" w:hAnsi="Arial"/>
          <w:sz w:val="22"/>
        </w:rPr>
      </w:r>
    </w:p>
    <w:p>
      <w:pPr>
        <w:pStyle w:val="Normal"/>
        <w:spacing w:lineRule="atLeast" w:line="22" w:before="0" w:after="160"/>
        <w:contextualSpacing/>
        <w:jc w:val="center"/>
        <w:rPr>
          <w:rFonts w:ascii="Arial" w:hAnsi="Arial" w:cs="Arial"/>
          <w:sz w:val="22"/>
        </w:rPr>
      </w:pPr>
      <w:r>
        <w:rPr>
          <w:rFonts w:cs="Arial" w:ascii="Arial" w:hAnsi="Arial"/>
          <w:sz w:val="22"/>
        </w:rPr>
      </w:r>
    </w:p>
    <w:p>
      <w:pPr>
        <w:pStyle w:val="Nadpis"/>
        <w:rPr/>
      </w:pPr>
      <w:r>
        <w:rPr/>
      </w:r>
    </w:p>
    <w:p>
      <w:pPr>
        <w:pStyle w:val="Nadpis"/>
        <w:rPr>
          <w:rFonts w:ascii="Arial" w:hAnsi="Arial" w:eastAsia="Calibri" w:cs="Arial"/>
          <w:spacing w:val="0"/>
          <w:kern w:val="0"/>
          <w:sz w:val="22"/>
          <w:szCs w:val="24"/>
        </w:rPr>
      </w:pPr>
      <w:r>
        <w:rPr>
          <w:rFonts w:eastAsia="Calibri" w:cs="Arial" w:ascii="Arial" w:hAnsi="Arial"/>
          <w:spacing w:val="0"/>
          <w:kern w:val="0"/>
          <w:sz w:val="22"/>
          <w:szCs w:val="24"/>
        </w:rPr>
      </w:r>
    </w:p>
    <w:p>
      <w:pPr>
        <w:pStyle w:val="Nadpis"/>
        <w:jc w:val="center"/>
        <w:rPr/>
      </w:pPr>
      <w:r>
        <w:rPr>
          <w:rFonts w:cs="Calibri" w:ascii="Calibri" w:hAnsi="Calibri"/>
          <w:b/>
          <w:sz w:val="28"/>
          <w:szCs w:val="28"/>
        </w:rPr>
        <w:t>Odsťahovanie z kaštieľa Ladomerská Vieska- I. etapa</w:t>
      </w:r>
    </w:p>
    <w:p>
      <w:pPr>
        <w:pStyle w:val="Normal"/>
        <w:jc w:val="center"/>
        <w:rPr/>
      </w:pPr>
      <w:r>
        <w:rPr>
          <w:rFonts w:cs="Calibri" w:ascii="Calibri" w:hAnsi="Calibri"/>
          <w:b/>
          <w:sz w:val="28"/>
          <w:szCs w:val="28"/>
        </w:rPr>
        <w:t>transformácie DSS</w:t>
      </w:r>
    </w:p>
    <w:p>
      <w:pPr>
        <w:pStyle w:val="Normal"/>
        <w:rPr>
          <w:rFonts w:ascii="Calibri" w:hAnsi="Calibri" w:cs="Calibri"/>
          <w:b/>
          <w:b/>
          <w:sz w:val="28"/>
          <w:szCs w:val="28"/>
        </w:rPr>
      </w:pPr>
      <w:r>
        <w:rPr>
          <w:rFonts w:cs="Calibri" w:ascii="Calibri" w:hAnsi="Calibri"/>
          <w:b/>
          <w:sz w:val="28"/>
          <w:szCs w:val="28"/>
        </w:rPr>
      </w:r>
    </w:p>
    <w:p>
      <w:pPr>
        <w:pStyle w:val="Normal"/>
        <w:rPr>
          <w:rFonts w:ascii="Calibri" w:hAnsi="Calibri" w:cs="Calibri"/>
          <w:b/>
          <w:b/>
          <w:sz w:val="28"/>
          <w:szCs w:val="28"/>
        </w:rPr>
      </w:pPr>
      <w:r>
        <w:rPr>
          <w:rFonts w:cs="Calibri" w:ascii="Calibri" w:hAnsi="Calibri"/>
          <w:b/>
          <w:sz w:val="28"/>
          <w:szCs w:val="28"/>
        </w:rPr>
      </w:r>
    </w:p>
    <w:p>
      <w:pPr>
        <w:pStyle w:val="Normal"/>
        <w:rPr>
          <w:rFonts w:ascii="Calibri" w:hAnsi="Calibri" w:cs="Calibri"/>
          <w:b/>
          <w:b/>
          <w:sz w:val="28"/>
          <w:szCs w:val="28"/>
        </w:rPr>
      </w:pPr>
      <w:r>
        <w:rPr>
          <w:rFonts w:cs="Calibri" w:ascii="Calibri" w:hAnsi="Calibri"/>
          <w:b/>
          <w:sz w:val="28"/>
          <w:szCs w:val="28"/>
        </w:rPr>
      </w:r>
    </w:p>
    <w:p>
      <w:pPr>
        <w:pStyle w:val="Normal"/>
        <w:rPr>
          <w:rFonts w:ascii="Calibri" w:hAnsi="Calibri" w:cs="Calibri"/>
          <w:b/>
          <w:b/>
          <w:sz w:val="28"/>
          <w:szCs w:val="28"/>
        </w:rPr>
      </w:pPr>
      <w:r>
        <w:rPr>
          <w:rFonts w:cs="Calibri" w:ascii="Calibri" w:hAnsi="Calibri"/>
          <w:b/>
          <w:sz w:val="28"/>
          <w:szCs w:val="28"/>
        </w:rPr>
      </w:r>
    </w:p>
    <w:p>
      <w:pPr>
        <w:pStyle w:val="Normal"/>
        <w:rPr/>
      </w:pPr>
      <w:r>
        <w:rPr/>
      </w:r>
    </w:p>
    <w:p>
      <w:pPr>
        <w:pStyle w:val="Normal"/>
        <w:rPr/>
      </w:pPr>
      <w:r>
        <w:rPr/>
      </w:r>
    </w:p>
    <w:p>
      <w:pPr>
        <w:pStyle w:val="Normal"/>
        <w:spacing w:before="0" w:after="0"/>
        <w:jc w:val="center"/>
        <w:rPr/>
      </w:pPr>
      <w:r>
        <w:rPr/>
      </w:r>
    </w:p>
    <w:p>
      <w:pPr>
        <w:pStyle w:val="Nadpis"/>
        <w:jc w:val="center"/>
        <w:rPr>
          <w:b/>
          <w:b/>
          <w:lang w:eastAsia="sk-SK"/>
        </w:rPr>
      </w:pPr>
      <w:r>
        <w:rPr>
          <w:b/>
          <w:lang w:eastAsia="sk-SK"/>
        </w:rPr>
        <w:drawing>
          <wp:anchor behindDoc="1" distT="0" distB="0" distL="0" distR="0" simplePos="0" locked="0" layoutInCell="1" allowOverlap="1" relativeHeight="3">
            <wp:simplePos x="0" y="0"/>
            <wp:positionH relativeFrom="column">
              <wp:posOffset>853440</wp:posOffset>
            </wp:positionH>
            <wp:positionV relativeFrom="paragraph">
              <wp:posOffset>356870</wp:posOffset>
            </wp:positionV>
            <wp:extent cx="1020445" cy="1561465"/>
            <wp:effectExtent l="0" t="0" r="0" b="0"/>
            <wp:wrapNone/>
            <wp:docPr id="2"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 descr=""/>
                    <pic:cNvPicPr>
                      <a:picLocks noChangeAspect="1" noChangeArrowheads="1"/>
                    </pic:cNvPicPr>
                  </pic:nvPicPr>
                  <pic:blipFill>
                    <a:blip r:embed="rId3"/>
                    <a:srcRect l="-136" t="-89" r="-136" b="-89"/>
                    <a:stretch>
                      <a:fillRect/>
                    </a:stretch>
                  </pic:blipFill>
                  <pic:spPr bwMode="auto">
                    <a:xfrm>
                      <a:off x="0" y="0"/>
                      <a:ext cx="1020445" cy="1561465"/>
                    </a:xfrm>
                    <a:prstGeom prst="rect">
                      <a:avLst/>
                    </a:prstGeom>
                  </pic:spPr>
                </pic:pic>
              </a:graphicData>
            </a:graphic>
          </wp:anchor>
        </w:drawing>
      </w:r>
    </w:p>
    <w:p>
      <w:pPr>
        <w:pStyle w:val="Nadpis"/>
        <w:jc w:val="center"/>
        <w:rPr/>
      </w:pPr>
      <w:r>
        <w:drawing>
          <wp:anchor behindDoc="1" distT="0" distB="0" distL="0" distR="0" simplePos="0" locked="0" layoutInCell="1" allowOverlap="1" relativeHeight="4">
            <wp:simplePos x="0" y="0"/>
            <wp:positionH relativeFrom="column">
              <wp:posOffset>4673600</wp:posOffset>
            </wp:positionH>
            <wp:positionV relativeFrom="paragraph">
              <wp:posOffset>-2540</wp:posOffset>
            </wp:positionV>
            <wp:extent cx="1362075" cy="1355090"/>
            <wp:effectExtent l="0" t="0" r="0" b="0"/>
            <wp:wrapNone/>
            <wp:docPr id="3"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4" descr=""/>
                    <pic:cNvPicPr>
                      <a:picLocks noChangeAspect="1" noChangeArrowheads="1"/>
                    </pic:cNvPicPr>
                  </pic:nvPicPr>
                  <pic:blipFill>
                    <a:blip r:embed="rId4"/>
                    <a:srcRect l="-99" t="-100" r="-99" b="-100"/>
                    <a:stretch>
                      <a:fillRect/>
                    </a:stretch>
                  </pic:blipFill>
                  <pic:spPr bwMode="auto">
                    <a:xfrm>
                      <a:off x="0" y="0"/>
                      <a:ext cx="1362075" cy="1355090"/>
                    </a:xfrm>
                    <a:prstGeom prst="rect">
                      <a:avLst/>
                    </a:prstGeom>
                  </pic:spPr>
                </pic:pic>
              </a:graphicData>
            </a:graphic>
          </wp:anchor>
        </w:drawing>
      </w:r>
      <w:r>
        <w:rPr>
          <w:b/>
        </w:rPr>
        <w:t>2</w:t>
      </w:r>
      <w:r>
        <w:rPr>
          <w:b/>
        </w:rPr>
        <w:t>018 – 2023</w:t>
      </w:r>
    </w:p>
    <w:p>
      <w:pPr>
        <w:pStyle w:val="Normal"/>
        <w:spacing w:lineRule="atLeast" w:line="22" w:before="0" w:after="160"/>
        <w:contextualSpacing/>
        <w:jc w:val="center"/>
        <w:rPr>
          <w:rFonts w:ascii="Arial" w:hAnsi="Arial" w:cs="Arial"/>
          <w:b/>
          <w:b/>
          <w:sz w:val="56"/>
        </w:rPr>
      </w:pPr>
      <w:r>
        <w:rPr>
          <w:rFonts w:cs="Arial" w:ascii="Arial" w:hAnsi="Arial"/>
          <w:b/>
          <w:sz w:val="56"/>
        </w:rPr>
      </w:r>
    </w:p>
    <w:p>
      <w:pPr>
        <w:pStyle w:val="Normal"/>
        <w:spacing w:lineRule="atLeast" w:line="22" w:before="0" w:after="160"/>
        <w:contextualSpacing/>
        <w:rPr>
          <w:rFonts w:ascii="Arial" w:hAnsi="Arial" w:cs="Arial"/>
          <w:b/>
          <w:b/>
          <w:sz w:val="32"/>
        </w:rPr>
      </w:pPr>
      <w:r>
        <w:rPr>
          <w:rFonts w:cs="Arial" w:ascii="Arial" w:hAnsi="Arial"/>
          <w:b/>
          <w:sz w:val="32"/>
        </w:rPr>
      </w:r>
    </w:p>
    <w:p>
      <w:pPr>
        <w:pStyle w:val="Normal"/>
        <w:spacing w:lineRule="atLeast" w:line="22" w:before="0" w:after="160"/>
        <w:contextualSpacing/>
        <w:jc w:val="center"/>
        <w:rPr/>
      </w:pPr>
      <w:r>
        <w:rPr>
          <w:rFonts w:cs="Calibri" w:ascii="Calibri" w:hAnsi="Calibri"/>
          <w:sz w:val="28"/>
        </w:rPr>
        <w:t xml:space="preserve">Ladomerská Vieska </w:t>
      </w:r>
    </w:p>
    <w:p>
      <w:pPr>
        <w:pStyle w:val="Normal"/>
        <w:spacing w:lineRule="atLeast" w:line="22" w:before="0" w:after="160"/>
        <w:contextualSpacing/>
        <w:jc w:val="center"/>
        <w:rPr/>
      </w:pPr>
      <w:r>
        <w:rPr/>
      </w:r>
    </w:p>
    <w:p>
      <w:pPr>
        <w:pStyle w:val="Normal"/>
        <w:spacing w:before="0" w:after="0"/>
        <w:contextualSpacing/>
        <w:jc w:val="center"/>
        <w:rPr>
          <w:sz w:val="20"/>
          <w:szCs w:val="20"/>
        </w:rPr>
      </w:pPr>
      <w:r>
        <w:rPr>
          <w:sz w:val="20"/>
          <w:szCs w:val="20"/>
        </w:rPr>
      </w:r>
    </w:p>
    <w:p>
      <w:pPr>
        <w:pStyle w:val="Normal"/>
        <w:spacing w:before="0" w:after="0"/>
        <w:contextualSpacing/>
        <w:rPr/>
      </w:pPr>
      <w:r>
        <w:rPr>
          <w:b/>
          <w:bCs/>
        </w:rPr>
        <w:t>Obsah:</w:t>
      </w:r>
    </w:p>
    <w:p>
      <w:pPr>
        <w:sectPr>
          <w:footerReference w:type="default" r:id="rId5"/>
          <w:type w:val="nextPage"/>
          <w:pgSz w:w="11906" w:h="16838"/>
          <w:pgMar w:left="1418" w:right="1416" w:header="0" w:top="720" w:footer="708" w:bottom="765" w:gutter="0"/>
          <w:pgNumType w:fmt="decimal"/>
          <w:formProt w:val="false"/>
          <w:textDirection w:val="lrTb"/>
          <w:docGrid w:type="default" w:linePitch="360" w:charSpace="0"/>
        </w:sectPr>
      </w:pPr>
    </w:p>
    <w:p>
      <w:pPr>
        <w:pStyle w:val="Normal"/>
        <w:spacing w:before="0" w:after="0"/>
        <w:contextualSpacing/>
        <w:rPr>
          <w:bCs/>
        </w:rPr>
      </w:pPr>
      <w:r>
        <w:rPr>
          <w:bCs/>
        </w:rPr>
      </w:r>
    </w:p>
    <w:sdt>
      <w:sdtPr>
        <w:docPartObj>
          <w:docPartGallery w:val="Table of Contents"/>
          <w:docPartUnique w:val="true"/>
        </w:docPartObj>
      </w:sdtPr>
      <w:sdtContent>
        <w:p>
          <w:pPr>
            <w:pStyle w:val="Obsah1"/>
            <w:rPr>
              <w:rFonts w:ascii="Calibri" w:hAnsi="Calibri" w:eastAsia="" w:cs="" w:asciiTheme="minorHAnsi" w:cstheme="minorBidi" w:eastAsiaTheme="minorEastAsia" w:hAnsiTheme="minorHAnsi"/>
              <w:lang w:eastAsia="sk-SK"/>
            </w:rPr>
          </w:pPr>
          <w:r>
            <w:fldChar w:fldCharType="begin"/>
          </w:r>
          <w:r>
            <w:rPr>
              <w:webHidden/>
              <w:rStyle w:val="Odkaznaregister"/>
            </w:rPr>
            <w:instrText> TOC \z \o "1-3" \u \h</w:instrText>
          </w:r>
          <w:r>
            <w:rPr>
              <w:webHidden/>
              <w:rStyle w:val="Odkaznaregister"/>
            </w:rPr>
            <w:fldChar w:fldCharType="separate"/>
          </w:r>
          <w:hyperlink w:anchor="_Toc71021249">
            <w:r>
              <w:rPr>
                <w:webHidden/>
                <w:rStyle w:val="Odkaznaregister"/>
              </w:rPr>
              <w:t>1. VÍZIA TRANSFORMAČNÉHO PLÁNU</w:t>
            </w:r>
            <w:r>
              <w:rPr>
                <w:webHidden/>
              </w:rPr>
              <w:fldChar w:fldCharType="begin"/>
            </w:r>
            <w:r>
              <w:rPr>
                <w:webHidden/>
              </w:rPr>
              <w:instrText>PAGEREF _Toc71021249 \h</w:instrText>
            </w:r>
            <w:r>
              <w:rPr>
                <w:webHidden/>
              </w:rPr>
              <w:fldChar w:fldCharType="separate"/>
            </w:r>
            <w:r>
              <w:rPr>
                <w:rStyle w:val="Odkaznaregister"/>
                <w:vanish w:val="false"/>
              </w:rPr>
              <w:tab/>
              <w:t>5</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50">
            <w:r>
              <w:rPr>
                <w:webHidden/>
                <w:rStyle w:val="Odkaznaregister"/>
                <w:b w:val="false"/>
              </w:rPr>
              <w:t>1.1.Všeobecná vízia transformačného plánu</w:t>
            </w:r>
            <w:r>
              <w:rPr>
                <w:webHidden/>
              </w:rPr>
              <w:fldChar w:fldCharType="begin"/>
            </w:r>
            <w:r>
              <w:rPr>
                <w:webHidden/>
              </w:rPr>
              <w:instrText>PAGEREF _Toc71021250 \h</w:instrText>
            </w:r>
            <w:r>
              <w:rPr>
                <w:webHidden/>
              </w:rPr>
              <w:fldChar w:fldCharType="separate"/>
            </w:r>
            <w:r>
              <w:rPr>
                <w:rStyle w:val="Odkaznaregister"/>
                <w:b w:val="false"/>
                <w:vanish w:val="false"/>
              </w:rPr>
              <w:tab/>
              <w:t>5</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51">
            <w:r>
              <w:rPr>
                <w:webHidden/>
                <w:rStyle w:val="Odkaznaregister"/>
                <w:b w:val="false"/>
              </w:rPr>
              <w:t>1.2. Špecifická vízia transformačného plánu</w:t>
            </w:r>
            <w:r>
              <w:rPr>
                <w:webHidden/>
              </w:rPr>
              <w:fldChar w:fldCharType="begin"/>
            </w:r>
            <w:r>
              <w:rPr>
                <w:webHidden/>
              </w:rPr>
              <w:instrText>PAGEREF _Toc71021251 \h</w:instrText>
            </w:r>
            <w:r>
              <w:rPr>
                <w:webHidden/>
              </w:rPr>
              <w:fldChar w:fldCharType="separate"/>
            </w:r>
            <w:r>
              <w:rPr>
                <w:rStyle w:val="Odkaznaregister"/>
                <w:b w:val="false"/>
                <w:vanish w:val="false"/>
              </w:rPr>
              <w:tab/>
              <w:t>5</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52">
            <w:r>
              <w:rPr>
                <w:webHidden/>
                <w:rStyle w:val="Odkaznaregister"/>
                <w:b w:val="false"/>
              </w:rPr>
              <w:t>1.3. Zásady a princípy deinštitucionalizácie</w:t>
            </w:r>
            <w:r>
              <w:rPr>
                <w:webHidden/>
              </w:rPr>
              <w:fldChar w:fldCharType="begin"/>
            </w:r>
            <w:r>
              <w:rPr>
                <w:webHidden/>
              </w:rPr>
              <w:instrText>PAGEREF _Toc71021252 \h</w:instrText>
            </w:r>
            <w:r>
              <w:rPr>
                <w:webHidden/>
              </w:rPr>
              <w:fldChar w:fldCharType="separate"/>
            </w:r>
            <w:r>
              <w:rPr>
                <w:rStyle w:val="Odkaznaregister"/>
                <w:b w:val="false"/>
                <w:vanish w:val="false"/>
              </w:rPr>
              <w:tab/>
              <w:t>6</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53">
            <w:r>
              <w:rPr>
                <w:webHidden/>
                <w:rStyle w:val="Odkaznaregister"/>
              </w:rPr>
              <w:t>2. ANALÝZA ZARIADENIA (POPIS SÚČASNÉHO STAVU)</w:t>
            </w:r>
            <w:r>
              <w:rPr>
                <w:webHidden/>
              </w:rPr>
              <w:fldChar w:fldCharType="begin"/>
            </w:r>
            <w:r>
              <w:rPr>
                <w:webHidden/>
              </w:rPr>
              <w:instrText>PAGEREF _Toc71021253 \h</w:instrText>
            </w:r>
            <w:r>
              <w:rPr>
                <w:webHidden/>
              </w:rPr>
              <w:fldChar w:fldCharType="separate"/>
            </w:r>
            <w:r>
              <w:rPr>
                <w:rStyle w:val="Odkaznaregister"/>
                <w:vanish w:val="false"/>
              </w:rPr>
              <w:tab/>
              <w:t>7</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54">
            <w:r>
              <w:rPr>
                <w:webHidden/>
                <w:rStyle w:val="Odkaznaregister"/>
                <w:b w:val="false"/>
              </w:rPr>
              <w:t>2.1. Základné údaje o zariadení</w:t>
            </w:r>
            <w:r>
              <w:rPr>
                <w:webHidden/>
              </w:rPr>
              <w:fldChar w:fldCharType="begin"/>
            </w:r>
            <w:r>
              <w:rPr>
                <w:webHidden/>
              </w:rPr>
              <w:instrText>PAGEREF _Toc71021254 \h</w:instrText>
            </w:r>
            <w:r>
              <w:rPr>
                <w:webHidden/>
              </w:rPr>
              <w:fldChar w:fldCharType="separate"/>
            </w:r>
            <w:r>
              <w:rPr>
                <w:rStyle w:val="Odkaznaregister"/>
                <w:b w:val="false"/>
                <w:vanish w:val="false"/>
              </w:rPr>
              <w:tab/>
              <w:t>7</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55">
            <w:r>
              <w:rPr>
                <w:webHidden/>
                <w:rStyle w:val="Odkaznaregister"/>
                <w:b w:val="false"/>
              </w:rPr>
              <w:t>2.2. Personálna štruktúra zariadenia sociálnych služieb k 30.11.2020:</w:t>
            </w:r>
            <w:r>
              <w:rPr>
                <w:webHidden/>
              </w:rPr>
              <w:fldChar w:fldCharType="begin"/>
            </w:r>
            <w:r>
              <w:rPr>
                <w:webHidden/>
              </w:rPr>
              <w:instrText>PAGEREF _Toc71021255 \h</w:instrText>
            </w:r>
            <w:r>
              <w:rPr>
                <w:webHidden/>
              </w:rPr>
              <w:fldChar w:fldCharType="separate"/>
            </w:r>
            <w:r>
              <w:rPr>
                <w:rStyle w:val="Odkaznaregister"/>
                <w:b w:val="false"/>
                <w:vanish w:val="false"/>
              </w:rPr>
              <w:tab/>
              <w:t>8</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56">
            <w:r>
              <w:rPr>
                <w:webHidden/>
                <w:rStyle w:val="Odkaznaregister"/>
                <w:b w:val="false"/>
              </w:rPr>
              <w:t>2.3. Fyzické prostredie – popis súčasných objektov</w:t>
            </w:r>
            <w:r>
              <w:rPr>
                <w:webHidden/>
              </w:rPr>
              <w:fldChar w:fldCharType="begin"/>
            </w:r>
            <w:r>
              <w:rPr>
                <w:webHidden/>
              </w:rPr>
              <w:instrText>PAGEREF _Toc71021256 \h</w:instrText>
            </w:r>
            <w:r>
              <w:rPr>
                <w:webHidden/>
              </w:rPr>
              <w:fldChar w:fldCharType="separate"/>
            </w:r>
            <w:r>
              <w:rPr>
                <w:rStyle w:val="Odkaznaregister"/>
                <w:b w:val="false"/>
                <w:vanish w:val="false"/>
              </w:rPr>
              <w:tab/>
              <w:t>8</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57">
            <w:r>
              <w:rPr>
                <w:webHidden/>
                <w:rStyle w:val="Odkaznaregister"/>
                <w:b w:val="false"/>
              </w:rPr>
              <w:t>2.4. Strategické dokumenty zariadenia a zriaďovateľa</w:t>
            </w:r>
            <w:r>
              <w:rPr>
                <w:webHidden/>
              </w:rPr>
              <w:fldChar w:fldCharType="begin"/>
            </w:r>
            <w:r>
              <w:rPr>
                <w:webHidden/>
              </w:rPr>
              <w:instrText>PAGEREF _Toc71021257 \h</w:instrText>
            </w:r>
            <w:r>
              <w:rPr>
                <w:webHidden/>
              </w:rPr>
              <w:fldChar w:fldCharType="separate"/>
            </w:r>
            <w:r>
              <w:rPr>
                <w:rStyle w:val="Odkaznaregister"/>
                <w:b w:val="false"/>
                <w:vanish w:val="false"/>
              </w:rPr>
              <w:tab/>
              <w:t>10</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58">
            <w:r>
              <w:rPr>
                <w:webHidden/>
                <w:rStyle w:val="Odkaznaregister"/>
                <w:b w:val="false"/>
              </w:rPr>
              <w:t>2.5. Náklady DSS Ladomerská Vieska k 30.06.2020 – mzdové a prevádzkové, EON</w:t>
            </w:r>
            <w:r>
              <w:rPr>
                <w:webHidden/>
              </w:rPr>
              <w:fldChar w:fldCharType="begin"/>
            </w:r>
            <w:r>
              <w:rPr>
                <w:webHidden/>
              </w:rPr>
              <w:instrText>PAGEREF _Toc71021258 \h</w:instrText>
            </w:r>
            <w:r>
              <w:rPr>
                <w:webHidden/>
              </w:rPr>
              <w:fldChar w:fldCharType="separate"/>
            </w:r>
            <w:r>
              <w:rPr>
                <w:rStyle w:val="Odkaznaregister"/>
                <w:b w:val="false"/>
                <w:vanish w:val="false"/>
              </w:rPr>
              <w:tab/>
              <w:t>11</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59">
            <w:r>
              <w:rPr>
                <w:webHidden/>
                <w:rStyle w:val="Odkaznaregister"/>
                <w:b w:val="false"/>
              </w:rPr>
              <w:t>2.6. SWOT analýza aktuálne poskytovaných sociálnych služieb</w:t>
            </w:r>
            <w:r>
              <w:rPr>
                <w:webHidden/>
              </w:rPr>
              <w:fldChar w:fldCharType="begin"/>
            </w:r>
            <w:r>
              <w:rPr>
                <w:webHidden/>
              </w:rPr>
              <w:instrText>PAGEREF _Toc71021259 \h</w:instrText>
            </w:r>
            <w:r>
              <w:rPr>
                <w:webHidden/>
              </w:rPr>
              <w:fldChar w:fldCharType="separate"/>
            </w:r>
            <w:r>
              <w:rPr>
                <w:rStyle w:val="Odkaznaregister"/>
                <w:b w:val="false"/>
                <w:vanish w:val="false"/>
              </w:rPr>
              <w:tab/>
              <w:t>12</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60">
            <w:r>
              <w:rPr>
                <w:webHidden/>
                <w:rStyle w:val="Odkaznaregister"/>
                <w:b w:val="false"/>
              </w:rPr>
              <w:t>2.7. Práca s rodinnými príslušníkmi</w:t>
            </w:r>
            <w:r>
              <w:rPr>
                <w:webHidden/>
              </w:rPr>
              <w:fldChar w:fldCharType="begin"/>
            </w:r>
            <w:r>
              <w:rPr>
                <w:webHidden/>
              </w:rPr>
              <w:instrText>PAGEREF _Toc71021260 \h</w:instrText>
            </w:r>
            <w:r>
              <w:rPr>
                <w:webHidden/>
              </w:rPr>
              <w:fldChar w:fldCharType="separate"/>
            </w:r>
            <w:r>
              <w:rPr>
                <w:rStyle w:val="Odkaznaregister"/>
                <w:b w:val="false"/>
                <w:vanish w:val="false"/>
              </w:rPr>
              <w:tab/>
              <w:t>13</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61">
            <w:r>
              <w:rPr>
                <w:webHidden/>
                <w:rStyle w:val="Odkaznaregister"/>
                <w:b w:val="false"/>
              </w:rPr>
              <w:t>2.8.Realizované integračné a inkluzívne aktivity – kultúrne, športové, v komunite,</w:t>
            </w:r>
            <w:r>
              <w:rPr>
                <w:webHidden/>
              </w:rPr>
              <w:fldChar w:fldCharType="begin"/>
            </w:r>
            <w:r>
              <w:rPr>
                <w:webHidden/>
              </w:rPr>
              <w:instrText>PAGEREF _Toc71021261 \h</w:instrText>
            </w:r>
            <w:r>
              <w:rPr>
                <w:webHidden/>
              </w:rPr>
              <w:fldChar w:fldCharType="separate"/>
            </w:r>
            <w:r>
              <w:rPr>
                <w:rStyle w:val="Odkaznaregister"/>
                <w:b w:val="false"/>
                <w:vanish w:val="false"/>
              </w:rPr>
              <w:tab/>
              <w:t>14</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62">
            <w:r>
              <w:rPr>
                <w:webHidden/>
                <w:rStyle w:val="Odkaznaregister"/>
                <w:b w:val="false"/>
              </w:rPr>
              <w:t>s dobrovoľníkmi, v pracovnom živote</w:t>
            </w:r>
            <w:r>
              <w:rPr>
                <w:webHidden/>
              </w:rPr>
              <w:fldChar w:fldCharType="begin"/>
            </w:r>
            <w:r>
              <w:rPr>
                <w:webHidden/>
              </w:rPr>
              <w:instrText>PAGEREF _Toc71021262 \h</w:instrText>
            </w:r>
            <w:r>
              <w:rPr>
                <w:webHidden/>
              </w:rPr>
              <w:fldChar w:fldCharType="separate"/>
            </w:r>
            <w:r>
              <w:rPr>
                <w:rStyle w:val="Odkaznaregister"/>
                <w:b w:val="false"/>
                <w:vanish w:val="false"/>
              </w:rPr>
              <w:tab/>
              <w:t>14</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63">
            <w:r>
              <w:rPr>
                <w:webHidden/>
                <w:rStyle w:val="Odkaznaregister"/>
              </w:rPr>
              <w:t>3. PRIJÍMATELIA SOCIÁLNYCH SLUŽIEB</w:t>
            </w:r>
            <w:r>
              <w:rPr>
                <w:webHidden/>
              </w:rPr>
              <w:fldChar w:fldCharType="begin"/>
            </w:r>
            <w:r>
              <w:rPr>
                <w:webHidden/>
              </w:rPr>
              <w:instrText>PAGEREF _Toc71021263 \h</w:instrText>
            </w:r>
            <w:r>
              <w:rPr>
                <w:webHidden/>
              </w:rPr>
              <w:fldChar w:fldCharType="separate"/>
            </w:r>
            <w:r>
              <w:rPr>
                <w:rStyle w:val="Odkaznaregister"/>
                <w:vanish w:val="false"/>
              </w:rPr>
              <w:tab/>
              <w:t>15</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64">
            <w:r>
              <w:rPr>
                <w:webHidden/>
                <w:rStyle w:val="Odkaznaregister"/>
                <w:b w:val="false"/>
              </w:rPr>
              <w:t>3.1. Analýza súčasnej situácie ku dňu 30.11.2020</w:t>
            </w:r>
            <w:r>
              <w:rPr>
                <w:webHidden/>
              </w:rPr>
              <w:fldChar w:fldCharType="begin"/>
            </w:r>
            <w:r>
              <w:rPr>
                <w:webHidden/>
              </w:rPr>
              <w:instrText>PAGEREF _Toc71021264 \h</w:instrText>
            </w:r>
            <w:r>
              <w:rPr>
                <w:webHidden/>
              </w:rPr>
              <w:fldChar w:fldCharType="separate"/>
            </w:r>
            <w:r>
              <w:rPr>
                <w:rStyle w:val="Odkaznaregister"/>
                <w:b w:val="false"/>
                <w:vanish w:val="false"/>
              </w:rPr>
              <w:tab/>
              <w:t>15</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65">
            <w:r>
              <w:rPr>
                <w:webHidden/>
                <w:rStyle w:val="Odkaznaregister"/>
                <w:b w:val="false"/>
              </w:rPr>
              <w:t>3.2. Zabezpečenie procesu individuálneho plánovania v zariadení</w:t>
            </w:r>
            <w:r>
              <w:rPr>
                <w:webHidden/>
              </w:rPr>
              <w:fldChar w:fldCharType="begin"/>
            </w:r>
            <w:r>
              <w:rPr>
                <w:webHidden/>
              </w:rPr>
              <w:instrText>PAGEREF _Toc71021265 \h</w:instrText>
            </w:r>
            <w:r>
              <w:rPr>
                <w:webHidden/>
              </w:rPr>
              <w:fldChar w:fldCharType="separate"/>
            </w:r>
            <w:r>
              <w:rPr>
                <w:rStyle w:val="Odkaznaregister"/>
                <w:b w:val="false"/>
                <w:vanish w:val="false"/>
              </w:rPr>
              <w:tab/>
              <w:t>16</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66">
            <w:r>
              <w:rPr>
                <w:webHidden/>
                <w:rStyle w:val="Odkaznaregister"/>
                <w:b w:val="false"/>
              </w:rPr>
              <w:t>3.3. Plán prípravy prijímateľov na zmenu</w:t>
            </w:r>
            <w:r>
              <w:rPr>
                <w:webHidden/>
              </w:rPr>
              <w:fldChar w:fldCharType="begin"/>
            </w:r>
            <w:r>
              <w:rPr>
                <w:webHidden/>
              </w:rPr>
              <w:instrText>PAGEREF _Toc71021266 \h</w:instrText>
            </w:r>
            <w:r>
              <w:rPr>
                <w:webHidden/>
              </w:rPr>
              <w:fldChar w:fldCharType="separate"/>
            </w:r>
            <w:r>
              <w:rPr>
                <w:rStyle w:val="Odkaznaregister"/>
                <w:b w:val="false"/>
                <w:vanish w:val="false"/>
              </w:rPr>
              <w:tab/>
              <w:t>17</w:t>
            </w:r>
            <w:r>
              <w:rPr>
                <w:webHidden/>
              </w:rPr>
              <w:fldChar w:fldCharType="end"/>
            </w:r>
          </w:hyperlink>
        </w:p>
        <w:p>
          <w:pPr>
            <w:pStyle w:val="Obsah2"/>
            <w:rPr>
              <w:rFonts w:ascii="Calibri" w:hAnsi="Calibri" w:eastAsia="" w:cs="" w:asciiTheme="minorHAnsi" w:cstheme="minorBidi" w:eastAsiaTheme="minorEastAsia" w:hAnsiTheme="minorHAnsi"/>
              <w:lang w:eastAsia="sk-SK"/>
            </w:rPr>
          </w:pPr>
          <w:hyperlink w:anchor="_Toc71021267">
            <w:r>
              <w:rPr>
                <w:webHidden/>
                <w:rStyle w:val="Odkaznaregister"/>
                <w:b w:val="false"/>
              </w:rPr>
              <w:t>3.4.Plán tvorby podpory participácie rodinných príslušníkov na tvorbe a realizácii jeho aktivít</w:t>
            </w:r>
            <w:r>
              <w:rPr>
                <w:rStyle w:val="Odkaznaregister"/>
                <w:vanish w:val="false"/>
              </w:rPr>
              <w:tab/>
            </w:r>
            <w:r>
              <w:rPr>
                <w:webHidden/>
              </w:rPr>
              <w:fldChar w:fldCharType="begin"/>
            </w:r>
            <w:r>
              <w:rPr>
                <w:webHidden/>
              </w:rPr>
              <w:instrText>PAGEREF _Toc71021267 \h</w:instrText>
            </w:r>
            <w:r>
              <w:rPr>
                <w:webHidden/>
              </w:rPr>
              <w:fldChar w:fldCharType="separate"/>
            </w:r>
            <w:r>
              <w:rPr>
                <w:rStyle w:val="Odkaznaregister"/>
                <w:b w:val="false"/>
                <w:vanish w:val="false"/>
              </w:rPr>
              <w:t>19</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68">
            <w:r>
              <w:rPr>
                <w:webHidden/>
                <w:rStyle w:val="Odkaznaregister"/>
              </w:rPr>
              <w:t>4. ZDROJE V KOMUNITE</w:t>
            </w:r>
            <w:r>
              <w:rPr>
                <w:webHidden/>
              </w:rPr>
              <w:fldChar w:fldCharType="begin"/>
            </w:r>
            <w:r>
              <w:rPr>
                <w:webHidden/>
              </w:rPr>
              <w:instrText>PAGEREF _Toc71021268 \h</w:instrText>
            </w:r>
            <w:r>
              <w:rPr>
                <w:webHidden/>
              </w:rPr>
              <w:fldChar w:fldCharType="separate"/>
            </w:r>
            <w:r>
              <w:rPr>
                <w:rStyle w:val="Odkaznaregister"/>
                <w:vanish w:val="false"/>
              </w:rPr>
              <w:tab/>
              <w:t>20</w:t>
            </w:r>
            <w:r>
              <w:rPr>
                <w:webHidden/>
              </w:rPr>
              <w:fldChar w:fldCharType="end"/>
            </w:r>
          </w:hyperlink>
        </w:p>
        <w:p>
          <w:pPr>
            <w:pStyle w:val="Obsah2"/>
            <w:rPr>
              <w:rFonts w:ascii="Calibri" w:hAnsi="Calibri" w:eastAsia="" w:cs="" w:asciiTheme="minorHAnsi" w:cstheme="minorBidi" w:eastAsiaTheme="minorEastAsia" w:hAnsiTheme="minorHAnsi"/>
              <w:lang w:eastAsia="sk-SK"/>
            </w:rPr>
          </w:pPr>
          <w:hyperlink w:anchor="_Toc71021269">
            <w:r>
              <w:rPr>
                <w:webHidden/>
                <w:rStyle w:val="Odkaznaregister"/>
                <w:b w:val="false"/>
              </w:rPr>
              <w:t>4.1. Vytypovanie lokalít a ich charakteristika</w:t>
            </w:r>
            <w:r>
              <w:rPr>
                <w:rStyle w:val="Odkaznaregister"/>
                <w:vanish w:val="false"/>
              </w:rPr>
              <w:tab/>
            </w:r>
            <w:r>
              <w:rPr>
                <w:webHidden/>
              </w:rPr>
              <w:fldChar w:fldCharType="begin"/>
            </w:r>
            <w:r>
              <w:rPr>
                <w:webHidden/>
              </w:rPr>
              <w:instrText>PAGEREF _Toc71021269 \h</w:instrText>
            </w:r>
            <w:r>
              <w:rPr>
                <w:webHidden/>
              </w:rPr>
              <w:fldChar w:fldCharType="separate"/>
            </w:r>
            <w:r>
              <w:rPr>
                <w:rStyle w:val="Odkaznaregister"/>
                <w:b w:val="false"/>
                <w:vanish w:val="false"/>
              </w:rPr>
              <w:t>20</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70">
            <w:r>
              <w:rPr>
                <w:webHidden/>
                <w:rStyle w:val="Odkaznaregister"/>
              </w:rPr>
              <w:t>5. NOVÉ SLUŽBY</w:t>
            </w:r>
            <w:r>
              <w:rPr>
                <w:webHidden/>
              </w:rPr>
              <w:fldChar w:fldCharType="begin"/>
            </w:r>
            <w:r>
              <w:rPr>
                <w:webHidden/>
              </w:rPr>
              <w:instrText>PAGEREF _Toc71021270 \h</w:instrText>
            </w:r>
            <w:r>
              <w:rPr>
                <w:webHidden/>
              </w:rPr>
              <w:fldChar w:fldCharType="separate"/>
            </w:r>
            <w:r>
              <w:rPr>
                <w:rStyle w:val="Odkaznaregister"/>
                <w:vanish w:val="false"/>
              </w:rPr>
              <w:tab/>
              <w:t>22</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71">
            <w:r>
              <w:rPr>
                <w:webHidden/>
                <w:rStyle w:val="Odkaznaregister"/>
                <w:b w:val="false"/>
              </w:rPr>
              <w:t>5.1. Charakteristika nových služieb poskytovaných  v rámci DSS Ladomerská Vieska v prvej etape transformácie</w:t>
            </w:r>
            <w:r>
              <w:rPr>
                <w:webHidden/>
              </w:rPr>
              <w:fldChar w:fldCharType="begin"/>
            </w:r>
            <w:r>
              <w:rPr>
                <w:webHidden/>
              </w:rPr>
              <w:instrText>PAGEREF _Toc71021271 \h</w:instrText>
            </w:r>
            <w:r>
              <w:rPr>
                <w:webHidden/>
              </w:rPr>
              <w:fldChar w:fldCharType="separate"/>
            </w:r>
            <w:r>
              <w:rPr>
                <w:rStyle w:val="Odkaznaregister"/>
                <w:b w:val="false"/>
                <w:vanish w:val="false"/>
              </w:rPr>
              <w:tab/>
              <w:t>22</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72">
            <w:r>
              <w:rPr>
                <w:webHidden/>
                <w:rStyle w:val="Odkaznaregister"/>
                <w:b w:val="false"/>
              </w:rPr>
              <w:t>5.2. Charakteristika nových služieb poskytovaných  v rámci DSS Ladomerská Vieska v druhej etape transformácie (cca rok 2024)</w:t>
            </w:r>
            <w:r>
              <w:rPr>
                <w:webHidden/>
              </w:rPr>
              <w:fldChar w:fldCharType="begin"/>
            </w:r>
            <w:r>
              <w:rPr>
                <w:webHidden/>
              </w:rPr>
              <w:instrText>PAGEREF _Toc71021272 \h</w:instrText>
            </w:r>
            <w:r>
              <w:rPr>
                <w:webHidden/>
              </w:rPr>
              <w:fldChar w:fldCharType="separate"/>
            </w:r>
            <w:r>
              <w:rPr>
                <w:rStyle w:val="Odkaznaregister"/>
                <w:b w:val="false"/>
                <w:vanish w:val="false"/>
              </w:rPr>
              <w:tab/>
              <w:t>24</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73">
            <w:r>
              <w:rPr>
                <w:webHidden/>
                <w:rStyle w:val="Odkaznaregister"/>
                <w:b w:val="false"/>
              </w:rPr>
              <w:t>5.3. Služby zabezpečované dodávateľsky</w:t>
            </w:r>
            <w:r>
              <w:rPr>
                <w:webHidden/>
              </w:rPr>
              <w:fldChar w:fldCharType="begin"/>
            </w:r>
            <w:r>
              <w:rPr>
                <w:webHidden/>
              </w:rPr>
              <w:instrText>PAGEREF _Toc71021273 \h</w:instrText>
            </w:r>
            <w:r>
              <w:rPr>
                <w:webHidden/>
              </w:rPr>
              <w:fldChar w:fldCharType="separate"/>
            </w:r>
            <w:r>
              <w:rPr>
                <w:rStyle w:val="Odkaznaregister"/>
                <w:b w:val="false"/>
                <w:vanish w:val="false"/>
              </w:rPr>
              <w:tab/>
              <w:t>25</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74">
            <w:r>
              <w:rPr>
                <w:webHidden/>
                <w:rStyle w:val="Odkaznaregister"/>
                <w:b w:val="false"/>
              </w:rPr>
              <w:t>5.4. Predpokladané výsledky po transformácií DSS</w:t>
            </w:r>
            <w:r>
              <w:rPr>
                <w:webHidden/>
              </w:rPr>
              <w:fldChar w:fldCharType="begin"/>
            </w:r>
            <w:r>
              <w:rPr>
                <w:webHidden/>
              </w:rPr>
              <w:instrText>PAGEREF _Toc71021274 \h</w:instrText>
            </w:r>
            <w:r>
              <w:rPr>
                <w:webHidden/>
              </w:rPr>
              <w:fldChar w:fldCharType="separate"/>
            </w:r>
            <w:r>
              <w:rPr>
                <w:rStyle w:val="Odkaznaregister"/>
                <w:b w:val="false"/>
                <w:vanish w:val="false"/>
              </w:rPr>
              <w:tab/>
              <w:t>25</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75">
            <w:r>
              <w:rPr>
                <w:webHidden/>
                <w:rStyle w:val="Odkaznaregister"/>
              </w:rPr>
              <w:t>6. PERSONÁLNA ŠTRUKTÚRA NOVÝCH SLUŽIEB</w:t>
            </w:r>
            <w:r>
              <w:rPr>
                <w:webHidden/>
              </w:rPr>
              <w:fldChar w:fldCharType="begin"/>
            </w:r>
            <w:r>
              <w:rPr>
                <w:webHidden/>
              </w:rPr>
              <w:instrText>PAGEREF _Toc71021275 \h</w:instrText>
            </w:r>
            <w:r>
              <w:rPr>
                <w:webHidden/>
              </w:rPr>
              <w:fldChar w:fldCharType="separate"/>
            </w:r>
            <w:r>
              <w:rPr>
                <w:rStyle w:val="Odkaznaregister"/>
                <w:vanish w:val="false"/>
              </w:rPr>
              <w:tab/>
              <w:t>28</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76">
            <w:r>
              <w:rPr>
                <w:webHidden/>
                <w:rStyle w:val="Odkaznaregister"/>
              </w:rPr>
              <w:t>7. KOMUNIKAČNÁ STRATÉGIA</w:t>
            </w:r>
            <w:r>
              <w:rPr>
                <w:webHidden/>
              </w:rPr>
              <w:fldChar w:fldCharType="begin"/>
            </w:r>
            <w:r>
              <w:rPr>
                <w:webHidden/>
              </w:rPr>
              <w:instrText>PAGEREF _Toc71021276 \h</w:instrText>
            </w:r>
            <w:r>
              <w:rPr>
                <w:webHidden/>
              </w:rPr>
              <w:fldChar w:fldCharType="separate"/>
            </w:r>
            <w:r>
              <w:rPr>
                <w:rStyle w:val="Odkaznaregister"/>
                <w:vanish w:val="false"/>
              </w:rPr>
              <w:tab/>
              <w:t>30</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77">
            <w:r>
              <w:rPr>
                <w:webHidden/>
                <w:rStyle w:val="Odkaznaregister"/>
                <w:b w:val="false"/>
              </w:rPr>
              <w:t>7.1. Cieľové skupiny komunikačnej stratégie</w:t>
            </w:r>
            <w:r>
              <w:rPr>
                <w:webHidden/>
              </w:rPr>
              <w:fldChar w:fldCharType="begin"/>
            </w:r>
            <w:r>
              <w:rPr>
                <w:webHidden/>
              </w:rPr>
              <w:instrText>PAGEREF _Toc71021277 \h</w:instrText>
            </w:r>
            <w:r>
              <w:rPr>
                <w:webHidden/>
              </w:rPr>
              <w:fldChar w:fldCharType="separate"/>
            </w:r>
            <w:r>
              <w:rPr>
                <w:rStyle w:val="Odkaznaregister"/>
                <w:b w:val="false"/>
                <w:vanish w:val="false"/>
              </w:rPr>
              <w:tab/>
              <w:t>30</w:t>
            </w:r>
            <w:r>
              <w:rPr>
                <w:webHidden/>
              </w:rPr>
              <w:fldChar w:fldCharType="end"/>
            </w:r>
          </w:hyperlink>
        </w:p>
        <w:p>
          <w:pPr>
            <w:pStyle w:val="Obsah2"/>
            <w:rPr>
              <w:rFonts w:ascii="Calibri" w:hAnsi="Calibri" w:eastAsia="" w:cs="" w:asciiTheme="minorHAnsi" w:cstheme="minorBidi" w:eastAsiaTheme="minorEastAsia" w:hAnsiTheme="minorHAnsi"/>
              <w:lang w:eastAsia="sk-SK"/>
            </w:rPr>
          </w:pPr>
          <w:hyperlink w:anchor="_Toc71021278">
            <w:r>
              <w:rPr>
                <w:webHidden/>
                <w:rStyle w:val="Odkaznaregister"/>
                <w:b w:val="false"/>
              </w:rPr>
              <w:t>7.2. Analýza súčasnej komunikácie zariadenia vo vzťahu k vybraným cieľovým skupinám</w:t>
            </w:r>
            <w:r>
              <w:rPr>
                <w:rStyle w:val="Odkaznaregister"/>
                <w:vanish w:val="false"/>
              </w:rPr>
              <w:tab/>
            </w:r>
            <w:r>
              <w:rPr>
                <w:webHidden/>
              </w:rPr>
              <w:fldChar w:fldCharType="begin"/>
            </w:r>
            <w:r>
              <w:rPr>
                <w:webHidden/>
              </w:rPr>
              <w:instrText>PAGEREF _Toc71021278 \h</w:instrText>
            </w:r>
            <w:r>
              <w:rPr>
                <w:webHidden/>
              </w:rPr>
              <w:fldChar w:fldCharType="separate"/>
            </w:r>
            <w:r>
              <w:rPr>
                <w:rStyle w:val="Odkaznaregister"/>
                <w:b w:val="false"/>
                <w:vanish w:val="false"/>
              </w:rPr>
              <w:t>30</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79">
            <w:r>
              <w:rPr>
                <w:webHidden/>
                <w:rStyle w:val="Odkaznaregister"/>
              </w:rPr>
              <w:t>8. LOGISTIKA</w:t>
            </w:r>
            <w:r>
              <w:rPr>
                <w:webHidden/>
              </w:rPr>
              <w:fldChar w:fldCharType="begin"/>
            </w:r>
            <w:r>
              <w:rPr>
                <w:webHidden/>
              </w:rPr>
              <w:instrText>PAGEREF _Toc71021279 \h</w:instrText>
            </w:r>
            <w:r>
              <w:rPr>
                <w:webHidden/>
              </w:rPr>
              <w:fldChar w:fldCharType="separate"/>
            </w:r>
            <w:r>
              <w:rPr>
                <w:rStyle w:val="Odkaznaregister"/>
                <w:vanish w:val="false"/>
              </w:rPr>
              <w:tab/>
              <w:t>32</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80">
            <w:r>
              <w:rPr>
                <w:webHidden/>
                <w:rStyle w:val="Odkaznaregister"/>
                <w:b w:val="false"/>
              </w:rPr>
              <w:t>8.1.Transformačný plán</w:t>
            </w:r>
            <w:r>
              <w:rPr>
                <w:webHidden/>
              </w:rPr>
              <w:fldChar w:fldCharType="begin"/>
            </w:r>
            <w:r>
              <w:rPr>
                <w:webHidden/>
              </w:rPr>
              <w:instrText>PAGEREF _Toc71021280 \h</w:instrText>
            </w:r>
            <w:r>
              <w:rPr>
                <w:webHidden/>
              </w:rPr>
              <w:fldChar w:fldCharType="separate"/>
            </w:r>
            <w:r>
              <w:rPr>
                <w:rStyle w:val="Odkaznaregister"/>
                <w:b w:val="false"/>
                <w:vanish w:val="false"/>
              </w:rPr>
              <w:tab/>
              <w:t>32</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81">
            <w:r>
              <w:rPr>
                <w:webHidden/>
                <w:rStyle w:val="Odkaznaregister"/>
                <w:b w:val="false"/>
              </w:rPr>
              <w:t>8.2. Investičný projekt</w:t>
            </w:r>
            <w:r>
              <w:rPr>
                <w:webHidden/>
              </w:rPr>
              <w:fldChar w:fldCharType="begin"/>
            </w:r>
            <w:r>
              <w:rPr>
                <w:webHidden/>
              </w:rPr>
              <w:instrText>PAGEREF _Toc71021281 \h</w:instrText>
            </w:r>
            <w:r>
              <w:rPr>
                <w:webHidden/>
              </w:rPr>
              <w:fldChar w:fldCharType="separate"/>
            </w:r>
            <w:r>
              <w:rPr>
                <w:rStyle w:val="Odkaznaregister"/>
                <w:b w:val="false"/>
                <w:vanish w:val="false"/>
              </w:rPr>
              <w:tab/>
              <w:t>32</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82">
            <w:r>
              <w:rPr>
                <w:webHidden/>
                <w:rStyle w:val="Odkaznaregister"/>
                <w:b w:val="false"/>
              </w:rPr>
              <w:t>8.3.Príprava prijímateľov</w:t>
            </w:r>
            <w:r>
              <w:rPr>
                <w:webHidden/>
              </w:rPr>
              <w:fldChar w:fldCharType="begin"/>
            </w:r>
            <w:r>
              <w:rPr>
                <w:webHidden/>
              </w:rPr>
              <w:instrText>PAGEREF _Toc71021282 \h</w:instrText>
            </w:r>
            <w:r>
              <w:rPr>
                <w:webHidden/>
              </w:rPr>
              <w:fldChar w:fldCharType="separate"/>
            </w:r>
            <w:r>
              <w:rPr>
                <w:rStyle w:val="Odkaznaregister"/>
                <w:b w:val="false"/>
                <w:vanish w:val="false"/>
              </w:rPr>
              <w:tab/>
              <w:t>33</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83">
            <w:r>
              <w:rPr>
                <w:webHidden/>
                <w:rStyle w:val="Odkaznaregister"/>
                <w:b w:val="false"/>
              </w:rPr>
              <w:t>8.4. Príprava zamestnancov</w:t>
            </w:r>
            <w:r>
              <w:rPr>
                <w:webHidden/>
              </w:rPr>
              <w:fldChar w:fldCharType="begin"/>
            </w:r>
            <w:r>
              <w:rPr>
                <w:webHidden/>
              </w:rPr>
              <w:instrText>PAGEREF _Toc71021283 \h</w:instrText>
            </w:r>
            <w:r>
              <w:rPr>
                <w:webHidden/>
              </w:rPr>
              <w:fldChar w:fldCharType="separate"/>
            </w:r>
            <w:r>
              <w:rPr>
                <w:rStyle w:val="Odkaznaregister"/>
                <w:b w:val="false"/>
                <w:vanish w:val="false"/>
              </w:rPr>
              <w:tab/>
              <w:t>33</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84">
            <w:r>
              <w:rPr>
                <w:webHidden/>
                <w:rStyle w:val="Odkaznaregister"/>
                <w:b w:val="false"/>
              </w:rPr>
              <w:t>8.5. Príprava rodinných príslušníkov</w:t>
            </w:r>
            <w:r>
              <w:rPr>
                <w:webHidden/>
              </w:rPr>
              <w:fldChar w:fldCharType="begin"/>
            </w:r>
            <w:r>
              <w:rPr>
                <w:webHidden/>
              </w:rPr>
              <w:instrText>PAGEREF _Toc71021284 \h</w:instrText>
            </w:r>
            <w:r>
              <w:rPr>
                <w:webHidden/>
              </w:rPr>
              <w:fldChar w:fldCharType="separate"/>
            </w:r>
            <w:r>
              <w:rPr>
                <w:rStyle w:val="Odkaznaregister"/>
                <w:b w:val="false"/>
                <w:vanish w:val="false"/>
              </w:rPr>
              <w:tab/>
              <w:t>34</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85">
            <w:r>
              <w:rPr>
                <w:webHidden/>
                <w:rStyle w:val="Odkaznaregister"/>
                <w:b w:val="false"/>
              </w:rPr>
              <w:t>8.6. Príprava komunity</w:t>
            </w:r>
            <w:r>
              <w:rPr>
                <w:webHidden/>
              </w:rPr>
              <w:fldChar w:fldCharType="begin"/>
            </w:r>
            <w:r>
              <w:rPr>
                <w:webHidden/>
              </w:rPr>
              <w:instrText>PAGEREF _Toc71021285 \h</w:instrText>
            </w:r>
            <w:r>
              <w:rPr>
                <w:webHidden/>
              </w:rPr>
              <w:fldChar w:fldCharType="separate"/>
            </w:r>
            <w:r>
              <w:rPr>
                <w:rStyle w:val="Odkaznaregister"/>
                <w:b w:val="false"/>
                <w:vanish w:val="false"/>
              </w:rPr>
              <w:tab/>
              <w:t>34</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86">
            <w:r>
              <w:rPr>
                <w:webHidden/>
                <w:rStyle w:val="Odkaznaregister"/>
              </w:rPr>
              <w:t>9. FINANČNÁ ANALÝZA</w:t>
            </w:r>
            <w:r>
              <w:rPr>
                <w:webHidden/>
              </w:rPr>
              <w:fldChar w:fldCharType="begin"/>
            </w:r>
            <w:r>
              <w:rPr>
                <w:webHidden/>
              </w:rPr>
              <w:instrText>PAGEREF _Toc71021286 \h</w:instrText>
            </w:r>
            <w:r>
              <w:rPr>
                <w:webHidden/>
              </w:rPr>
              <w:fldChar w:fldCharType="separate"/>
            </w:r>
            <w:r>
              <w:rPr>
                <w:rStyle w:val="Odkaznaregister"/>
                <w:vanish w:val="false"/>
              </w:rPr>
              <w:tab/>
              <w:t>36</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87">
            <w:r>
              <w:rPr>
                <w:webHidden/>
                <w:rStyle w:val="Odkaznaregister"/>
                <w:b w:val="false"/>
              </w:rPr>
              <w:t>9.1. Výdavky - Tabuľka: Prehľad všeobecných a kapitálových výdavkov v čase transformácie DSS</w:t>
            </w:r>
            <w:r>
              <w:rPr>
                <w:webHidden/>
              </w:rPr>
              <w:fldChar w:fldCharType="begin"/>
            </w:r>
            <w:r>
              <w:rPr>
                <w:webHidden/>
              </w:rPr>
              <w:instrText>PAGEREF _Toc71021287 \h</w:instrText>
            </w:r>
            <w:r>
              <w:rPr>
                <w:webHidden/>
              </w:rPr>
              <w:fldChar w:fldCharType="separate"/>
            </w:r>
            <w:r>
              <w:rPr>
                <w:rStyle w:val="Odkaznaregister"/>
                <w:b w:val="false"/>
                <w:vanish w:val="false"/>
              </w:rPr>
              <w:tab/>
              <w:t>37</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88">
            <w:r>
              <w:rPr>
                <w:webHidden/>
                <w:rStyle w:val="Odkaznaregister"/>
                <w:b w:val="false"/>
              </w:rPr>
              <w:t>9.2. Príjmy</w:t>
            </w:r>
            <w:r>
              <w:rPr>
                <w:webHidden/>
              </w:rPr>
              <w:fldChar w:fldCharType="begin"/>
            </w:r>
            <w:r>
              <w:rPr>
                <w:webHidden/>
              </w:rPr>
              <w:instrText>PAGEREF _Toc71021288 \h</w:instrText>
            </w:r>
            <w:r>
              <w:rPr>
                <w:webHidden/>
              </w:rPr>
              <w:fldChar w:fldCharType="separate"/>
            </w:r>
            <w:r>
              <w:rPr>
                <w:rStyle w:val="Odkaznaregister"/>
                <w:b w:val="false"/>
                <w:vanish w:val="false"/>
              </w:rPr>
              <w:tab/>
              <w:t>39</w:t>
            </w:r>
            <w:r>
              <w:rPr>
                <w:webHidden/>
              </w:rPr>
              <w:fldChar w:fldCharType="end"/>
            </w:r>
          </w:hyperlink>
        </w:p>
        <w:p>
          <w:pPr>
            <w:pStyle w:val="Obsah2"/>
            <w:rPr>
              <w:rFonts w:ascii="Calibri" w:hAnsi="Calibri" w:eastAsia="" w:cs="" w:asciiTheme="minorHAnsi" w:cstheme="minorBidi" w:eastAsiaTheme="minorEastAsia" w:hAnsiTheme="minorHAnsi"/>
              <w:b w:val="false"/>
              <w:b w:val="false"/>
              <w:lang w:eastAsia="sk-SK"/>
            </w:rPr>
          </w:pPr>
          <w:hyperlink w:anchor="_Toc71021289">
            <w:r>
              <w:rPr>
                <w:webHidden/>
                <w:rStyle w:val="Odkaznaregister"/>
                <w:b w:val="false"/>
              </w:rPr>
              <w:t>9.3. Finančná udržateľnosť transformovaného systému sociálnych služieb</w:t>
            </w:r>
            <w:r>
              <w:rPr>
                <w:webHidden/>
              </w:rPr>
              <w:fldChar w:fldCharType="begin"/>
            </w:r>
            <w:r>
              <w:rPr>
                <w:webHidden/>
              </w:rPr>
              <w:instrText>PAGEREF _Toc71021289 \h</w:instrText>
            </w:r>
            <w:r>
              <w:rPr>
                <w:webHidden/>
              </w:rPr>
              <w:fldChar w:fldCharType="separate"/>
            </w:r>
            <w:r>
              <w:rPr>
                <w:rStyle w:val="Odkaznaregister"/>
                <w:b w:val="false"/>
                <w:vanish w:val="false"/>
              </w:rPr>
              <w:tab/>
              <w:t>39</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90">
            <w:r>
              <w:rPr>
                <w:webHidden/>
                <w:rStyle w:val="Odkaznaregister"/>
              </w:rPr>
              <w:t>10. SEBAHODNOTENIE A  RIZIKÁ</w:t>
            </w:r>
            <w:r>
              <w:rPr>
                <w:webHidden/>
              </w:rPr>
              <w:fldChar w:fldCharType="begin"/>
            </w:r>
            <w:r>
              <w:rPr>
                <w:webHidden/>
              </w:rPr>
              <w:instrText>PAGEREF _Toc71021290 \h</w:instrText>
            </w:r>
            <w:r>
              <w:rPr>
                <w:webHidden/>
              </w:rPr>
              <w:fldChar w:fldCharType="separate"/>
            </w:r>
            <w:r>
              <w:rPr>
                <w:rStyle w:val="Odkaznaregister"/>
                <w:vanish w:val="false"/>
              </w:rPr>
              <w:tab/>
              <w:t>40</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91">
            <w:r>
              <w:rPr>
                <w:webHidden/>
                <w:rStyle w:val="Odkaznaregister"/>
              </w:rPr>
              <w:t>ZOZNAM SKRATIEK</w:t>
            </w:r>
            <w:r>
              <w:rPr>
                <w:webHidden/>
              </w:rPr>
              <w:fldChar w:fldCharType="begin"/>
            </w:r>
            <w:r>
              <w:rPr>
                <w:webHidden/>
              </w:rPr>
              <w:instrText>PAGEREF _Toc71021291 \h</w:instrText>
            </w:r>
            <w:r>
              <w:rPr>
                <w:webHidden/>
              </w:rPr>
              <w:fldChar w:fldCharType="separate"/>
            </w:r>
            <w:r>
              <w:rPr>
                <w:rStyle w:val="Odkaznaregister"/>
                <w:vanish w:val="false"/>
              </w:rPr>
              <w:tab/>
              <w:t>41</w:t>
            </w:r>
            <w:r>
              <w:rPr>
                <w:webHidden/>
              </w:rPr>
              <w:fldChar w:fldCharType="end"/>
            </w:r>
          </w:hyperlink>
        </w:p>
        <w:p>
          <w:pPr>
            <w:pStyle w:val="Obsah1"/>
            <w:rPr>
              <w:rFonts w:ascii="Calibri" w:hAnsi="Calibri" w:eastAsia="" w:cs="" w:asciiTheme="minorHAnsi" w:cstheme="minorBidi" w:eastAsiaTheme="minorEastAsia" w:hAnsiTheme="minorHAnsi"/>
              <w:lang w:eastAsia="sk-SK"/>
            </w:rPr>
          </w:pPr>
          <w:hyperlink w:anchor="_Toc71021292">
            <w:r>
              <w:rPr>
                <w:webHidden/>
                <w:rStyle w:val="Odkaznaregister"/>
              </w:rPr>
              <w:t>PRÍLOHY</w:t>
            </w:r>
            <w:r>
              <w:rPr>
                <w:webHidden/>
              </w:rPr>
              <w:fldChar w:fldCharType="begin"/>
            </w:r>
            <w:r>
              <w:rPr>
                <w:webHidden/>
              </w:rPr>
              <w:instrText>PAGEREF _Toc71021292 \h</w:instrText>
            </w:r>
            <w:r>
              <w:rPr>
                <w:webHidden/>
              </w:rPr>
              <w:fldChar w:fldCharType="separate"/>
            </w:r>
            <w:r>
              <w:rPr>
                <w:rStyle w:val="Odkaznaregister"/>
                <w:vanish w:val="false"/>
              </w:rPr>
              <w:tab/>
              <w:t>42</w:t>
            </w:r>
            <w:r>
              <w:rPr>
                <w:webHidden/>
              </w:rPr>
              <w:fldChar w:fldCharType="end"/>
            </w:r>
          </w:hyperlink>
        </w:p>
        <w:p>
          <w:pPr>
            <w:pStyle w:val="Nadpis11"/>
            <w:rPr/>
          </w:pPr>
          <w:r>
            <w:rPr/>
          </w:r>
          <w:r>
            <w:rPr/>
            <w:fldChar w:fldCharType="end"/>
          </w:r>
        </w:p>
        <w:p>
          <w:pPr>
            <w:sectPr>
              <w:type w:val="continuous"/>
              <w:pgSz w:w="11906" w:h="16838"/>
              <w:pgMar w:left="1418" w:right="1416" w:header="0" w:top="720" w:footer="708" w:bottom="765" w:gutter="0"/>
              <w:formProt w:val="false"/>
              <w:textDirection w:val="lrTb"/>
              <w:docGrid w:type="default" w:linePitch="360" w:charSpace="0"/>
            </w:sectPr>
          </w:pPr>
        </w:p>
      </w:sdtContent>
    </w:sdt>
    <w:p>
      <w:pPr>
        <w:pStyle w:val="Normal"/>
        <w:spacing w:before="0" w:after="0"/>
        <w:jc w:val="both"/>
        <w:rPr/>
      </w:pPr>
      <w:r>
        <w:rPr>
          <w:sz w:val="22"/>
          <w:szCs w:val="22"/>
        </w:rPr>
        <w:t>Transformačný plán Domova sociálnych služieb Ladomerská Vieska je výsledkom niekoľkoročného  procesu príprav na zmenu   a hľadania správneho druhu, obsahu a formy sociálnej služby, ktorú má zariadenie poskytovať. Tento dokument  je výsledkom  analýzy praktických skúseností z  minulosti a súčasných možností a potrieb  zariadenia, s jediným cieľom : poskytnúť klientom moderné  a kvalitné</w:t>
      </w:r>
      <w:r>
        <w:rPr>
          <w:color w:val="000000"/>
          <w:sz w:val="22"/>
          <w:szCs w:val="22"/>
        </w:rPr>
        <w:t xml:space="preserve"> komunitné </w:t>
      </w:r>
      <w:r>
        <w:rPr>
          <w:sz w:val="22"/>
          <w:szCs w:val="22"/>
        </w:rPr>
        <w:t>sociálne služby. Transformačný plán  predstavuje víziu a spôsob,  ako zabezpečiť  prechod z inštitucionálnej na komunitnú starostlivosť.</w:t>
      </w:r>
    </w:p>
    <w:p>
      <w:pPr>
        <w:pStyle w:val="Normal"/>
        <w:spacing w:before="0" w:after="0"/>
        <w:jc w:val="both"/>
        <w:rPr/>
      </w:pPr>
      <w:r>
        <w:rPr>
          <w:sz w:val="22"/>
          <w:szCs w:val="22"/>
        </w:rPr>
        <w:t xml:space="preserve">Pri tvorbe Transformačného plánu sme vychádzali  z materiálu, ktorý vznikol v rámci realizácie Národného projektu </w:t>
      </w:r>
      <w:r>
        <w:rPr>
          <w:b/>
          <w:sz w:val="22"/>
          <w:szCs w:val="22"/>
        </w:rPr>
        <w:t>Podpora deinštitucionalizácie a transformácie systému sociálnych služieb</w:t>
      </w:r>
      <w:r>
        <w:rPr>
          <w:sz w:val="22"/>
          <w:szCs w:val="22"/>
        </w:rPr>
        <w:t xml:space="preserve"> realizovanom Implementačnou agentúrou Ministerstva práce, sociálnych vecí a rodiny Slovenskej republiky v rokoch 2013-2015.  Transformačný plán považujeme za  flexibilný nástroj a strategický dokument, ktorý má definovať ciele a postupnosť krokov v procese transformácie v rokoch 2018– 2023.</w:t>
      </w:r>
    </w:p>
    <w:p>
      <w:pPr>
        <w:pStyle w:val="Normal"/>
        <w:spacing w:before="0" w:after="0"/>
        <w:jc w:val="both"/>
        <w:rPr/>
      </w:pPr>
      <w:r>
        <w:rPr>
          <w:sz w:val="22"/>
          <w:szCs w:val="22"/>
        </w:rPr>
        <w:t xml:space="preserve">Tento dokument  vypracoval transformačný tím zariadenia, pod vedením riaditeľky DSS. Transformačný tím pracoval v zložení : odborní zamestnanci  zariadenia, externí konzultanti, zástupca zriaďovateľa a zástupca PSS. Ich cieľom bolo pripravovať podklady, zisťovať potreby prijímateľov služieb a zamestnancov, ale aj potreby v komunite, kde je zariadenie situované. Takto komplexne spracovaný materiál je vhodným nástrojom na prezentovanie cieľov zariadenia pred zriaďovateľom, štátnou aj verejnou správou či ďalšími partnermi na Slovensku alebo v zahraničí. Transformačný plán je strategickým dokumentom aj pri získavaní finančnej podpory z verejných či neverejných zdrojov  a v období jeho realizácie sa zariadenie bude môcť riadiť §110 zákona č.448/2008 o sociálnych službách. Predkladatelia plánu sú presvedčení, že jeho realizáciou prispejú k tomu, aby ľudia so zdravotným postihnutím získali podporu a pomoc, ktorú potrebujú a na ktorú majú právo.  </w:t>
      </w:r>
    </w:p>
    <w:p>
      <w:pPr>
        <w:pStyle w:val="Nadpis11"/>
        <w:rPr/>
      </w:pPr>
      <w:bookmarkStart w:id="0" w:name="_Toc71021249"/>
      <w:r>
        <w:rPr>
          <w:rStyle w:val="Odkazintenzivn1"/>
          <w:b/>
          <w:bCs w:val="false"/>
          <w:caps w:val="false"/>
          <w:smallCaps w:val="false"/>
          <w:color w:val="2F5496"/>
          <w:spacing w:val="0"/>
        </w:rPr>
        <w:t>1. VÍZIA TRANSFORMAČNÉHO PLÁNU</w:t>
      </w:r>
      <w:bookmarkEnd w:id="0"/>
    </w:p>
    <w:p>
      <w:pPr>
        <w:pStyle w:val="Nadpis21"/>
        <w:ind w:left="1070" w:hanging="361"/>
        <w:rPr/>
      </w:pPr>
      <w:bookmarkStart w:id="1" w:name="_Toc71021250"/>
      <w:r>
        <w:rPr/>
        <w:t>1.1.Všeobecná vízia transformačného plánu</w:t>
      </w:r>
      <w:bookmarkEnd w:id="1"/>
    </w:p>
    <w:p>
      <w:pPr>
        <w:pStyle w:val="Normal"/>
        <w:spacing w:before="0" w:after="0"/>
        <w:contextualSpacing/>
        <w:jc w:val="both"/>
        <w:rPr/>
      </w:pPr>
      <w:r>
        <w:rPr>
          <w:sz w:val="22"/>
        </w:rPr>
        <w:t>Všeobecná vízia Transformačného plánu vychádza z napĺňania  základných ľudských práv osôb so zdravotným postihnutím a tiež  zo základných medzinárodných a národných legislatívnych a strategických dokumentov, najmä z:</w:t>
      </w:r>
    </w:p>
    <w:p>
      <w:pPr>
        <w:pStyle w:val="Normal"/>
        <w:numPr>
          <w:ilvl w:val="0"/>
          <w:numId w:val="14"/>
        </w:numPr>
        <w:spacing w:before="0" w:after="0"/>
        <w:contextualSpacing/>
        <w:jc w:val="both"/>
        <w:rPr/>
      </w:pPr>
      <w:r>
        <w:rPr>
          <w:sz w:val="22"/>
        </w:rPr>
        <w:t>Dohovoru OSN o právach osôb so zdravotným postihnutím</w:t>
      </w:r>
    </w:p>
    <w:p>
      <w:pPr>
        <w:pStyle w:val="Normal"/>
        <w:numPr>
          <w:ilvl w:val="0"/>
          <w:numId w:val="14"/>
        </w:numPr>
        <w:spacing w:before="0" w:after="0"/>
        <w:contextualSpacing/>
        <w:jc w:val="both"/>
        <w:rPr/>
      </w:pPr>
      <w:r>
        <w:rPr>
          <w:sz w:val="22"/>
        </w:rPr>
        <w:t>Stratégie deinštitucionalizácie systému sociálnych služieb a náhradnej starostlivosti v Slovenskej republike</w:t>
      </w:r>
    </w:p>
    <w:p>
      <w:pPr>
        <w:pStyle w:val="Normal"/>
        <w:numPr>
          <w:ilvl w:val="0"/>
          <w:numId w:val="14"/>
        </w:numPr>
        <w:spacing w:before="0" w:after="0"/>
        <w:contextualSpacing/>
        <w:jc w:val="both"/>
        <w:rPr/>
      </w:pPr>
      <w:r>
        <w:rPr>
          <w:sz w:val="22"/>
        </w:rPr>
        <w:t>Národných priorít rozvoja sociálnych služieb na roky 2015 – 2020</w:t>
      </w:r>
    </w:p>
    <w:p>
      <w:pPr>
        <w:pStyle w:val="Normal"/>
        <w:spacing w:before="0" w:after="0"/>
        <w:contextualSpacing/>
        <w:jc w:val="both"/>
        <w:rPr>
          <w:sz w:val="22"/>
        </w:rPr>
      </w:pPr>
      <w:r>
        <w:rPr>
          <w:sz w:val="22"/>
        </w:rPr>
      </w:r>
    </w:p>
    <w:tbl>
      <w:tblPr>
        <w:tblW w:w="9016" w:type="dxa"/>
        <w:jc w:val="left"/>
        <w:tblInd w:w="0" w:type="dxa"/>
        <w:tblCellMar>
          <w:top w:w="0" w:type="dxa"/>
          <w:left w:w="108" w:type="dxa"/>
          <w:bottom w:w="0" w:type="dxa"/>
          <w:right w:w="108" w:type="dxa"/>
        </w:tblCellMar>
        <w:tblLook w:val="0000"/>
      </w:tblPr>
      <w:tblGrid>
        <w:gridCol w:w="9016"/>
      </w:tblGrid>
      <w:tr>
        <w:trPr>
          <w:trHeight w:val="2351" w:hRule="atLeast"/>
        </w:trPr>
        <w:tc>
          <w:tcPr>
            <w:tcW w:w="9016" w:type="dxa"/>
            <w:tcBorders/>
            <w:shd w:color="auto" w:fill="auto" w:val="clear"/>
          </w:tcPr>
          <w:p>
            <w:pPr>
              <w:pStyle w:val="Normal"/>
              <w:snapToGrid w:val="false"/>
              <w:spacing w:before="0" w:after="0"/>
              <w:contextualSpacing/>
              <w:jc w:val="both"/>
              <w:rPr>
                <w:sz w:val="22"/>
              </w:rPr>
            </w:pPr>
            <w:r>
              <w:rPr>
                <w:sz w:val="22"/>
              </w:rPr>
            </w:r>
          </w:p>
          <w:p>
            <w:pPr>
              <w:pStyle w:val="Normal"/>
              <w:spacing w:before="0" w:after="0"/>
              <w:jc w:val="both"/>
              <w:rPr/>
            </w:pPr>
            <w:r>
              <w:rPr>
                <w:b/>
                <w:bCs/>
                <w:i/>
                <w:iCs/>
                <w:sz w:val="22"/>
                <w:szCs w:val="22"/>
              </w:rPr>
              <w:t>Víziou zariadenia</w:t>
            </w:r>
            <w:r>
              <w:rPr>
                <w:sz w:val="22"/>
                <w:szCs w:val="22"/>
              </w:rPr>
              <w:t xml:space="preserve"> je napomôcť PSS získať sebapoznanie a sebadôveru, vďaka ktorej sa dokážu dobrovoľne rozhodovať a svoje rozhodnutia vedieť obhájiť. </w:t>
            </w:r>
          </w:p>
          <w:p>
            <w:pPr>
              <w:pStyle w:val="Normal"/>
              <w:numPr>
                <w:ilvl w:val="0"/>
                <w:numId w:val="18"/>
              </w:numPr>
              <w:spacing w:before="0" w:after="0"/>
              <w:jc w:val="both"/>
              <w:rPr/>
            </w:pPr>
            <w:r>
              <w:rPr>
                <w:sz w:val="22"/>
                <w:szCs w:val="22"/>
              </w:rPr>
              <w:t xml:space="preserve">Ukázať komunite sebestačnosť a jedinečnosť PSS. </w:t>
            </w:r>
          </w:p>
          <w:p>
            <w:pPr>
              <w:pStyle w:val="Normal"/>
              <w:numPr>
                <w:ilvl w:val="0"/>
                <w:numId w:val="18"/>
              </w:numPr>
              <w:spacing w:before="0" w:after="0"/>
              <w:jc w:val="both"/>
              <w:rPr/>
            </w:pPr>
            <w:r>
              <w:rPr>
                <w:sz w:val="22"/>
                <w:szCs w:val="22"/>
              </w:rPr>
              <w:t>Podporiť akceptáciu PSS prostredím.</w:t>
            </w:r>
          </w:p>
          <w:p>
            <w:pPr>
              <w:pStyle w:val="Normal"/>
              <w:numPr>
                <w:ilvl w:val="0"/>
                <w:numId w:val="18"/>
              </w:numPr>
              <w:spacing w:before="0" w:after="0"/>
              <w:jc w:val="both"/>
              <w:rPr/>
            </w:pPr>
            <w:r>
              <w:rPr>
                <w:sz w:val="22"/>
                <w:szCs w:val="22"/>
              </w:rPr>
              <w:t>Otvárať cestu k návratu domov a sebarealizácii PSS prostredníctvom tolerantnej a informovanej komunity.</w:t>
            </w:r>
          </w:p>
          <w:p>
            <w:pPr>
              <w:pStyle w:val="Normal"/>
              <w:spacing w:before="0" w:after="0"/>
              <w:ind w:left="720" w:hanging="0"/>
              <w:jc w:val="both"/>
              <w:rPr/>
            </w:pPr>
            <w:r>
              <w:rPr/>
            </w:r>
          </w:p>
          <w:p>
            <w:pPr>
              <w:pStyle w:val="Normal"/>
              <w:spacing w:before="0" w:after="0"/>
              <w:ind w:left="142" w:right="207" w:hanging="0"/>
              <w:contextualSpacing/>
              <w:jc w:val="both"/>
              <w:rPr/>
            </w:pPr>
            <w:r>
              <w:rPr>
                <w:sz w:val="22"/>
              </w:rPr>
              <w:t>Komunitné služby zabezpečujú právo na nezávislý život v komunite pre všetkých prijímateľov sociálnych služieb v Domove sociálnych služieb Ladomerská Vieska  a ich plné začlenenie do spoločnosti bez ohľadu na mieru ich zdravotného postihnutia. Neustále sa inovuje systém komunitných služieb pre občanov s postihnutím, je prístupný, flexibilný a kontinuálne zabezpečuje počas životných cyklov občana so zdravotným postihnutím jeho rôznorodé potreby vo všetkých dôležitých oblastiach života.</w:t>
            </w:r>
          </w:p>
        </w:tc>
      </w:tr>
    </w:tbl>
    <w:p>
      <w:pPr>
        <w:pStyle w:val="Nadpis21"/>
        <w:ind w:left="1070" w:hanging="361"/>
        <w:rPr/>
      </w:pPr>
      <w:bookmarkStart w:id="2" w:name="_Toc71021251"/>
      <w:r>
        <w:rPr/>
        <w:t>1.2. Špecifická vízia transformačného plánu</w:t>
      </w:r>
      <w:bookmarkEnd w:id="2"/>
    </w:p>
    <w:p>
      <w:pPr>
        <w:pStyle w:val="Normal"/>
        <w:spacing w:before="0" w:after="0"/>
        <w:contextualSpacing/>
        <w:jc w:val="both"/>
        <w:rPr/>
      </w:pPr>
      <w:r>
        <w:rPr>
          <w:rFonts w:cs="Calibri" w:ascii="Calibri" w:hAnsi="Calibri"/>
          <w:sz w:val="22"/>
        </w:rPr>
        <w:tab/>
      </w:r>
      <w:r>
        <w:rPr>
          <w:sz w:val="22"/>
        </w:rPr>
        <w:t>Cieľom špecifickej vízie je definovať oblasti zmeny kvality služieb a vzťahov v rámci samotnej organizácie, tak aby sa transformáciou zariadenia nedosiahla len zmena systému služieb, ale najmä zmena v oblasti vzťahov a postavenia občanov  v zariadení a širšom sociálnom prostredí, ktorého sú súčasťou. Uvedená zmena je dosiahnuteľná len prostredníctvom sieťovania podpory pre občanov – prijímateľov  služieb z rôznych interných a externých zdrojov, v dôsledku čoho sa mení základná paradigma a náplň práce zamestnancov organizácie. Zamestnanci zariadenia rešpektujú a vedú aj okolie prijímateľov služieb  k tomu, aby sa takémuto občanovi  poskytla podpora v súlade s rovesníckym princípom, tzn. zamestnanci sprevádzajú a podporujú  prijímateľov sociálnych služieb zariadenia v tom, aby ich životy boli čo najviac podobné životom ich rovesníkov v priebehu všetkých životných cyklov.</w:t>
      </w:r>
    </w:p>
    <w:p>
      <w:pPr>
        <w:pStyle w:val="Normal"/>
        <w:spacing w:before="0" w:after="0"/>
        <w:contextualSpacing/>
        <w:jc w:val="both"/>
        <w:rPr>
          <w:sz w:val="22"/>
        </w:rPr>
      </w:pPr>
      <w:r>
        <w:rPr>
          <w:sz w:val="22"/>
        </w:rPr>
      </w:r>
    </w:p>
    <w:p>
      <w:pPr>
        <w:pStyle w:val="Normal"/>
        <w:spacing w:before="0" w:after="0"/>
        <w:contextualSpacing/>
        <w:jc w:val="both"/>
        <w:rPr>
          <w:sz w:val="22"/>
        </w:rPr>
      </w:pPr>
      <w:r>
        <w:rPr>
          <w:sz w:val="22"/>
        </w:rPr>
        <w:tab/>
        <w:t xml:space="preserve">Hlavným cieľom procesu deinštitucionalizácie Domova sociálnych služieb Ladomerská Vieska  je podpora prijímateľov sociálnych služieb v ich návrate do prirodzeného prostredia a spoločenského života, vytvorenie podmienok pre využívanie bežne dostupných verejných služieb a nadväzovanie sociálnych kontaktov v komunite. Naplnenie tohto cieľa sa dosiahne transformáciou inštitucionálneho systému služieb na systém komunitných sociálnych služieb. Vytvorí sa sieť rôznorodých pobytových, ambulantných  a neskôr aj terénnych sociálnych služieb, ktorá významne sfunkční systém uspokojovania individuálnych potrieb občanov v objektoch, ktoré sa svojím vzhľadom, polohou a kapacitou  neodlišujú od bežného spoločenského štandardu. Občania -prijímatelia sociálnych služieb sa budú podporovať v tom, aby v čo najväčšej miere využívali možnosť žiť bežným, nezávislým spôsobom života, o ktorom môžu sami rozhodovať. </w:t>
      </w:r>
    </w:p>
    <w:p>
      <w:pPr>
        <w:pStyle w:val="Normal"/>
        <w:spacing w:before="0" w:after="0"/>
        <w:contextualSpacing/>
        <w:jc w:val="both"/>
        <w:rPr>
          <w:sz w:val="22"/>
        </w:rPr>
      </w:pPr>
      <w:r>
        <w:rPr>
          <w:sz w:val="22"/>
        </w:rPr>
      </w:r>
    </w:p>
    <w:p>
      <w:pPr>
        <w:pStyle w:val="Normal"/>
        <w:spacing w:before="0" w:after="0"/>
        <w:contextualSpacing/>
        <w:jc w:val="both"/>
        <w:rPr>
          <w:rFonts w:eastAsia="Arial"/>
          <w:sz w:val="22"/>
          <w:szCs w:val="22"/>
        </w:rPr>
      </w:pPr>
      <w:r>
        <w:rPr>
          <w:rFonts w:eastAsia="Arial"/>
          <w:b/>
          <w:sz w:val="22"/>
          <w:szCs w:val="22"/>
        </w:rPr>
        <w:t>Prijímatelia budú mať vytvorené podmienky na získanie pracovných návykov a nových pracovných zručnosti</w:t>
      </w:r>
      <w:r>
        <w:rPr>
          <w:rFonts w:eastAsia="Arial"/>
          <w:sz w:val="22"/>
          <w:szCs w:val="22"/>
        </w:rPr>
        <w:t xml:space="preserve"> (nácvik pracovných zručností, a</w:t>
      </w:r>
      <w:r>
        <w:rPr>
          <w:rFonts w:eastAsia="Times New Roman"/>
          <w:sz w:val="22"/>
          <w:szCs w:val="22"/>
          <w:lang w:eastAsia="sk-SK"/>
        </w:rPr>
        <w:t>ktivačný príspevok formou dobrovoľníckej činnosti</w:t>
      </w:r>
      <w:r>
        <w:rPr>
          <w:rFonts w:eastAsia="Arial"/>
          <w:sz w:val="22"/>
          <w:szCs w:val="22"/>
        </w:rPr>
        <w:t xml:space="preserve">, sociálna rehabilitácia, programy na rozvoj komunikácie, začlenenia do bežného života). </w:t>
      </w:r>
    </w:p>
    <w:p>
      <w:pPr>
        <w:pStyle w:val="Normal"/>
        <w:spacing w:before="0" w:after="0"/>
        <w:contextualSpacing/>
        <w:jc w:val="both"/>
        <w:rPr>
          <w:rFonts w:eastAsia="Arial"/>
          <w:sz w:val="22"/>
          <w:szCs w:val="22"/>
        </w:rPr>
      </w:pPr>
      <w:r>
        <w:rPr>
          <w:rFonts w:eastAsia="Arial"/>
          <w:sz w:val="22"/>
          <w:szCs w:val="22"/>
        </w:rPr>
      </w:r>
    </w:p>
    <w:p>
      <w:pPr>
        <w:pStyle w:val="Normal"/>
        <w:spacing w:before="0" w:after="0"/>
        <w:contextualSpacing/>
        <w:jc w:val="both"/>
        <w:rPr>
          <w:rFonts w:eastAsia="Arial"/>
          <w:sz w:val="22"/>
          <w:szCs w:val="22"/>
        </w:rPr>
      </w:pPr>
      <w:r>
        <w:rPr>
          <w:rFonts w:eastAsia="Arial"/>
          <w:b/>
          <w:sz w:val="22"/>
          <w:szCs w:val="22"/>
        </w:rPr>
        <w:t>Poradenstvo zamerané na pomoc pri hľadaní zamestnania, pracovných príležitosti (</w:t>
      </w:r>
      <w:r>
        <w:rPr>
          <w:rFonts w:eastAsia="Arial"/>
          <w:sz w:val="22"/>
          <w:szCs w:val="22"/>
        </w:rPr>
        <w:t xml:space="preserve">spolupráca s UPSVR Žiar nad Hronom, APZ). </w:t>
      </w:r>
    </w:p>
    <w:p>
      <w:pPr>
        <w:pStyle w:val="Normal"/>
        <w:spacing w:before="0" w:after="0"/>
        <w:contextualSpacing/>
        <w:jc w:val="both"/>
        <w:rPr>
          <w:sz w:val="22"/>
          <w:szCs w:val="22"/>
        </w:rPr>
      </w:pPr>
      <w:r>
        <w:rPr>
          <w:rFonts w:eastAsia="Arial"/>
          <w:sz w:val="22"/>
          <w:szCs w:val="22"/>
        </w:rPr>
        <w:t>Prijímatelia  môžu získať pracovné príležitosti formou čiastočného alebo  plného úväzku v chránených dielňach, chránených pracoviskách,  v sociálnych podnikoch ako aj prostredníctvom nástrojov aktívnych opatrení trhu práce ponúkaných ÚP (napr. Aktivačnou činnosťou formou dobrovoľníckej činnosti, prípadne iných projektov ako napr. Projekt “Pomôž svojej obci“  a pod.)</w:t>
      </w:r>
    </w:p>
    <w:p>
      <w:pPr>
        <w:pStyle w:val="Nadpis21"/>
        <w:ind w:left="1070" w:hanging="360"/>
        <w:rPr/>
      </w:pPr>
      <w:bookmarkStart w:id="3" w:name="_Toc71021252"/>
      <w:r>
        <w:rPr/>
        <w:t>1.3. Zásady a princípy deinštitucionalizácie</w:t>
      </w:r>
      <w:bookmarkEnd w:id="3"/>
    </w:p>
    <w:p>
      <w:pPr>
        <w:pStyle w:val="Normal"/>
        <w:spacing w:before="0" w:after="0"/>
        <w:contextualSpacing/>
        <w:jc w:val="both"/>
        <w:rPr/>
      </w:pPr>
      <w:r>
        <w:rPr>
          <w:sz w:val="22"/>
        </w:rPr>
        <w:t>V každodennej práci v zariadení, ktorá je zameraná na dosiahnutie vízie sa  rešpektujú zásady a princípy, ktoré vedú k vytvoreniu kvalitných, partnerských vzťahov medzi prijímateľmi a poskytovateľom sociálnych služieb. Tieto princípy sú obsiahnuté v Etickom kódexe zamestnancov DSS Ladomerská Vieska. Etický kódex tvorí prílohu č. 1 Transformačného plánu. Cieľom transformácie je vytvoriť  kvalitatívne nový systém pomoci a podpory , v rámci ktorého sa :</w:t>
      </w:r>
    </w:p>
    <w:p>
      <w:pPr>
        <w:pStyle w:val="Normal"/>
        <w:spacing w:before="0" w:after="0"/>
        <w:contextualSpacing/>
        <w:jc w:val="both"/>
        <w:rPr>
          <w:sz w:val="22"/>
        </w:rPr>
      </w:pPr>
      <w:r>
        <w:rPr>
          <w:sz w:val="22"/>
        </w:rPr>
      </w:r>
    </w:p>
    <w:p>
      <w:pPr>
        <w:pStyle w:val="Odstavecseseznamem1"/>
        <w:numPr>
          <w:ilvl w:val="0"/>
          <w:numId w:val="9"/>
        </w:numPr>
        <w:spacing w:before="0" w:after="0"/>
        <w:contextualSpacing/>
        <w:jc w:val="both"/>
        <w:rPr/>
      </w:pPr>
      <w:r>
        <w:rPr>
          <w:sz w:val="22"/>
        </w:rPr>
        <w:t>Rešpektuje prirodzená ľudská dôstojnosť občana - prijímateľa sociálnych služieb,</w:t>
      </w:r>
    </w:p>
    <w:p>
      <w:pPr>
        <w:pStyle w:val="Odstavecseseznamem1"/>
        <w:numPr>
          <w:ilvl w:val="0"/>
          <w:numId w:val="9"/>
        </w:numPr>
        <w:spacing w:before="0" w:after="0"/>
        <w:contextualSpacing/>
        <w:jc w:val="both"/>
        <w:rPr/>
      </w:pPr>
      <w:r>
        <w:rPr>
          <w:sz w:val="22"/>
        </w:rPr>
        <w:t>Rešpektujú základné ľudské práva a slobody občanov - prijímateľov sociálnych služieb,</w:t>
      </w:r>
    </w:p>
    <w:p>
      <w:pPr>
        <w:pStyle w:val="Odstavecseseznamem1"/>
        <w:numPr>
          <w:ilvl w:val="0"/>
          <w:numId w:val="9"/>
        </w:numPr>
        <w:spacing w:before="0" w:after="0"/>
        <w:contextualSpacing/>
        <w:jc w:val="both"/>
        <w:rPr/>
      </w:pPr>
      <w:r>
        <w:rPr>
          <w:sz w:val="22"/>
        </w:rPr>
        <w:t>Sociálne služby poskytujú  bez ohľadu na pohlavie, rasu, náboženstvo, kultúru a sociálne postavenie občana - prijímateľa sociálnych služieb,</w:t>
      </w:r>
    </w:p>
    <w:p>
      <w:pPr>
        <w:pStyle w:val="Odstavecseseznamem1"/>
        <w:numPr>
          <w:ilvl w:val="0"/>
          <w:numId w:val="9"/>
        </w:numPr>
        <w:spacing w:before="0" w:after="0"/>
        <w:contextualSpacing/>
        <w:jc w:val="both"/>
        <w:rPr/>
      </w:pPr>
      <w:r>
        <w:rPr>
          <w:sz w:val="22"/>
        </w:rPr>
        <w:t xml:space="preserve">Zachováva  sa vlastná identita, osobná integrita, osobná nezávislosť a individuálna rozmanitosť prijímateľov sociálnych služieb a podporuje sa rozvoj ich schopností, zručností a vedomosti. </w:t>
      </w:r>
    </w:p>
    <w:p>
      <w:pPr>
        <w:pStyle w:val="Odstavecseseznamem1"/>
        <w:spacing w:before="0" w:after="0"/>
        <w:contextualSpacing/>
        <w:jc w:val="both"/>
        <w:rPr>
          <w:sz w:val="22"/>
        </w:rPr>
      </w:pPr>
      <w:r>
        <w:rPr>
          <w:sz w:val="22"/>
        </w:rPr>
      </w:r>
    </w:p>
    <w:p>
      <w:pPr>
        <w:pStyle w:val="Odstavecseseznamem1"/>
        <w:spacing w:before="0" w:after="0"/>
        <w:contextualSpacing/>
        <w:jc w:val="both"/>
        <w:rPr>
          <w:sz w:val="22"/>
        </w:rPr>
      </w:pPr>
      <w:r>
        <w:rPr>
          <w:sz w:val="22"/>
        </w:rPr>
      </w:r>
    </w:p>
    <w:p>
      <w:pPr>
        <w:pStyle w:val="Odstavecseseznamem1"/>
        <w:spacing w:lineRule="auto" w:line="240"/>
        <w:rPr>
          <w:i/>
          <w:i/>
        </w:rPr>
      </w:pPr>
      <w:r>
        <w:rPr>
          <w:sz w:val="22"/>
        </w:rPr>
        <w:t>Poslanie  Domova sociálnych služieb Ladomerská Vieska</w:t>
      </w:r>
    </w:p>
    <w:p>
      <w:pPr>
        <w:pStyle w:val="Normal"/>
        <w:numPr>
          <w:ilvl w:val="0"/>
          <w:numId w:val="28"/>
        </w:numPr>
        <w:spacing w:lineRule="auto" w:line="240"/>
        <w:rPr>
          <w:i/>
          <w:i/>
        </w:rPr>
      </w:pPr>
      <w:r>
        <w:rPr>
          <w:sz w:val="22"/>
          <w:szCs w:val="22"/>
        </w:rPr>
        <w:t>Individuálny prístup k PSS so závažnými a pretrvávajúcimi psychickými poruchami, založené na holistickom prístupe k PSS.</w:t>
      </w:r>
    </w:p>
    <w:p>
      <w:pPr>
        <w:pStyle w:val="Normal"/>
        <w:numPr>
          <w:ilvl w:val="0"/>
          <w:numId w:val="28"/>
        </w:numPr>
        <w:spacing w:lineRule="auto" w:line="240"/>
        <w:rPr>
          <w:i/>
          <w:i/>
        </w:rPr>
      </w:pPr>
      <w:r>
        <w:rPr>
          <w:sz w:val="22"/>
          <w:szCs w:val="22"/>
        </w:rPr>
        <w:t>Detailne poznať sociálne prostredie, na základe toho poskytnúť PSS možnosti na sebarealizáciu, zistiť jeho potenciál.</w:t>
      </w:r>
    </w:p>
    <w:p>
      <w:pPr>
        <w:pStyle w:val="Normal"/>
        <w:numPr>
          <w:ilvl w:val="0"/>
          <w:numId w:val="28"/>
        </w:numPr>
        <w:spacing w:lineRule="auto" w:line="240"/>
        <w:rPr>
          <w:i/>
          <w:i/>
        </w:rPr>
      </w:pPr>
      <w:r>
        <w:rPr>
          <w:sz w:val="22"/>
          <w:szCs w:val="22"/>
        </w:rPr>
        <w:t>Dať PSS príležitosť prejaviť sa v inom prostredí a v inej úlohe a činnostiach / zamestnanec /.</w:t>
      </w:r>
    </w:p>
    <w:p>
      <w:pPr>
        <w:pStyle w:val="Normal"/>
        <w:numPr>
          <w:ilvl w:val="0"/>
          <w:numId w:val="28"/>
        </w:numPr>
        <w:spacing w:lineRule="auto" w:line="240"/>
        <w:rPr>
          <w:i/>
          <w:i/>
        </w:rPr>
      </w:pPr>
      <w:r>
        <w:rPr>
          <w:sz w:val="22"/>
          <w:szCs w:val="22"/>
        </w:rPr>
        <w:t>Iniciatívne vyhľadávať a vytvárať príležitosti k aktivizácii PSS.</w:t>
      </w:r>
    </w:p>
    <w:p>
      <w:pPr>
        <w:pStyle w:val="Normal"/>
        <w:numPr>
          <w:ilvl w:val="0"/>
          <w:numId w:val="28"/>
        </w:numPr>
        <w:spacing w:lineRule="auto" w:line="240"/>
        <w:rPr>
          <w:i/>
          <w:i/>
        </w:rPr>
      </w:pPr>
      <w:r>
        <w:rPr>
          <w:sz w:val="22"/>
          <w:szCs w:val="22"/>
        </w:rPr>
        <w:t>Spolupracovať s miestnymi náboženskými, kultúrnymi, spoločenskými organizáciami a miestnymi samosprávami.</w:t>
      </w:r>
    </w:p>
    <w:p>
      <w:pPr>
        <w:pStyle w:val="Normal"/>
        <w:numPr>
          <w:ilvl w:val="0"/>
          <w:numId w:val="28"/>
        </w:numPr>
        <w:spacing w:lineRule="auto" w:line="240"/>
        <w:rPr>
          <w:i/>
          <w:i/>
          <w:sz w:val="22"/>
          <w:szCs w:val="22"/>
        </w:rPr>
      </w:pPr>
      <w:r>
        <w:rPr>
          <w:sz w:val="22"/>
          <w:szCs w:val="22"/>
        </w:rPr>
        <w:t>Pripraviť ich pre samostatný život s potrebnou mierou podpory.</w:t>
      </w:r>
    </w:p>
    <w:p>
      <w:pPr>
        <w:pStyle w:val="Odstavecseseznamem1"/>
        <w:rPr/>
      </w:pPr>
      <w:r>
        <w:rPr/>
      </w:r>
    </w:p>
    <w:p>
      <w:pPr>
        <w:pStyle w:val="Nadpis11"/>
        <w:rPr/>
      </w:pPr>
      <w:bookmarkStart w:id="4" w:name="_Toc71021253"/>
      <w:r>
        <w:rPr>
          <w:rStyle w:val="Odkazintenzivn1"/>
          <w:b/>
          <w:bCs w:val="false"/>
          <w:caps w:val="false"/>
          <w:smallCaps w:val="false"/>
          <w:color w:val="2F5496"/>
          <w:spacing w:val="0"/>
        </w:rPr>
        <w:t>2. ANALÝZA ZARIADENIA (POPIS SÚČASNÉHO STAVU)</w:t>
      </w:r>
      <w:bookmarkEnd w:id="4"/>
    </w:p>
    <w:p>
      <w:pPr>
        <w:pStyle w:val="Nadpis21"/>
        <w:ind w:left="1070" w:hanging="360"/>
        <w:rPr/>
      </w:pPr>
      <w:bookmarkStart w:id="5" w:name="_Toc71021254"/>
      <w:r>
        <w:rPr/>
        <w:t>2.1. Základné údaje o zariadení</w:t>
      </w:r>
      <w:bookmarkEnd w:id="5"/>
    </w:p>
    <w:tbl>
      <w:tblPr>
        <w:tblW w:w="9234" w:type="dxa"/>
        <w:jc w:val="center"/>
        <w:tblInd w:w="0" w:type="dxa"/>
        <w:tblCellMar>
          <w:top w:w="0" w:type="dxa"/>
          <w:left w:w="108" w:type="dxa"/>
          <w:bottom w:w="0" w:type="dxa"/>
          <w:right w:w="108" w:type="dxa"/>
        </w:tblCellMar>
        <w:tblLook w:val="0000"/>
      </w:tblPr>
      <w:tblGrid>
        <w:gridCol w:w="2435"/>
        <w:gridCol w:w="2570"/>
        <w:gridCol w:w="1874"/>
        <w:gridCol w:w="2354"/>
      </w:tblGrid>
      <w:tr>
        <w:trPr/>
        <w:tc>
          <w:tcPr>
            <w:tcW w:w="2435"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Názov organizácie</w:t>
            </w:r>
          </w:p>
        </w:tc>
        <w:tc>
          <w:tcPr>
            <w:tcW w:w="6798"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Domov sociálnych služieb Ladomerská Vieska</w:t>
            </w:r>
          </w:p>
        </w:tc>
      </w:tr>
      <w:tr>
        <w:trPr/>
        <w:tc>
          <w:tcPr>
            <w:tcW w:w="2435"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Sídlo organizácie</w:t>
            </w:r>
          </w:p>
        </w:tc>
        <w:tc>
          <w:tcPr>
            <w:tcW w:w="6798"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Ladomerská Vieska 84, 965 01 Žiar nad Hronom</w:t>
            </w:r>
          </w:p>
        </w:tc>
      </w:tr>
      <w:tr>
        <w:trPr/>
        <w:tc>
          <w:tcPr>
            <w:tcW w:w="2435"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Kontaktná osoba</w:t>
            </w:r>
          </w:p>
        </w:tc>
        <w:tc>
          <w:tcPr>
            <w:tcW w:w="6798"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PhDr. Miroslava Urblíková, riaditeľka DSS</w:t>
            </w:r>
          </w:p>
        </w:tc>
      </w:tr>
      <w:tr>
        <w:trPr/>
        <w:tc>
          <w:tcPr>
            <w:tcW w:w="2435"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Kontaktná adresa</w:t>
            </w:r>
          </w:p>
        </w:tc>
        <w:tc>
          <w:tcPr>
            <w:tcW w:w="6798"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Ladomerská Vieska 84, 965 01 Žiar nad Hronom</w:t>
            </w:r>
          </w:p>
        </w:tc>
      </w:tr>
      <w:tr>
        <w:trPr/>
        <w:tc>
          <w:tcPr>
            <w:tcW w:w="2435"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Poštová adresa</w:t>
            </w:r>
          </w:p>
        </w:tc>
        <w:tc>
          <w:tcPr>
            <w:tcW w:w="6798"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Ladomerská Vieska 84, 965 01 Žiar nad Hronom</w:t>
            </w:r>
          </w:p>
        </w:tc>
      </w:tr>
      <w:tr>
        <w:trPr/>
        <w:tc>
          <w:tcPr>
            <w:tcW w:w="2435"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IČO</w:t>
            </w:r>
          </w:p>
        </w:tc>
        <w:tc>
          <w:tcPr>
            <w:tcW w:w="2570" w:type="dxa"/>
            <w:tcBorders>
              <w:top w:val="single" w:sz="4" w:space="0" w:color="000000"/>
              <w:left w:val="single" w:sz="4" w:space="0" w:color="000000"/>
              <w:bottom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647918</w:t>
            </w:r>
          </w:p>
        </w:tc>
        <w:tc>
          <w:tcPr>
            <w:tcW w:w="1874"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DIČ</w:t>
            </w:r>
          </w:p>
        </w:tc>
        <w:tc>
          <w:tcPr>
            <w:tcW w:w="23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2020536859</w:t>
            </w:r>
          </w:p>
        </w:tc>
      </w:tr>
      <w:tr>
        <w:trPr>
          <w:trHeight w:val="495" w:hRule="atLeast"/>
        </w:trPr>
        <w:tc>
          <w:tcPr>
            <w:tcW w:w="2435" w:type="dxa"/>
            <w:vMerge w:val="restart"/>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Telefón</w:t>
            </w:r>
          </w:p>
        </w:tc>
        <w:tc>
          <w:tcPr>
            <w:tcW w:w="2570" w:type="dxa"/>
            <w:vMerge w:val="restart"/>
            <w:tcBorders>
              <w:top w:val="single" w:sz="4" w:space="0" w:color="000000"/>
              <w:left w:val="single" w:sz="4" w:space="0" w:color="000000"/>
              <w:bottom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045/672 7204</w:t>
            </w:r>
          </w:p>
          <w:p>
            <w:pPr>
              <w:pStyle w:val="Normal"/>
              <w:spacing w:lineRule="atLeast" w:line="22" w:before="0" w:after="0"/>
              <w:contextualSpacing/>
              <w:rPr>
                <w:sz w:val="22"/>
                <w:szCs w:val="22"/>
              </w:rPr>
            </w:pPr>
            <w:r>
              <w:rPr>
                <w:rFonts w:cs="Calibri" w:ascii="Calibri" w:hAnsi="Calibri"/>
                <w:sz w:val="22"/>
                <w:szCs w:val="22"/>
              </w:rPr>
              <w:t>045/672 7102</w:t>
            </w:r>
          </w:p>
          <w:p>
            <w:pPr>
              <w:pStyle w:val="Normal"/>
              <w:spacing w:lineRule="atLeast" w:line="22" w:before="0" w:after="0"/>
              <w:contextualSpacing/>
              <w:rPr>
                <w:sz w:val="22"/>
                <w:szCs w:val="22"/>
              </w:rPr>
            </w:pPr>
            <w:r>
              <w:rPr>
                <w:rFonts w:cs="Calibri" w:ascii="Calibri" w:hAnsi="Calibri"/>
                <w:sz w:val="22"/>
                <w:szCs w:val="22"/>
              </w:rPr>
              <w:t>0905 800 503</w:t>
            </w:r>
          </w:p>
        </w:tc>
        <w:tc>
          <w:tcPr>
            <w:tcW w:w="1874" w:type="dxa"/>
            <w:vMerge w:val="restart"/>
            <w:tcBorders>
              <w:top w:val="single" w:sz="4" w:space="0" w:color="000000"/>
              <w:left w:val="single" w:sz="4" w:space="0" w:color="000000"/>
              <w:bottom w:val="single" w:sz="4" w:space="0" w:color="000000"/>
            </w:tcBorders>
            <w:shd w:color="auto" w:fill="A1E7FD" w:val="clear"/>
            <w:vAlign w:val="center"/>
          </w:tcPr>
          <w:p>
            <w:pPr>
              <w:pStyle w:val="Normal"/>
              <w:spacing w:lineRule="atLeast" w:line="22" w:before="0" w:after="0"/>
              <w:contextualSpacing/>
              <w:rPr>
                <w:b/>
                <w:b/>
                <w:sz w:val="22"/>
                <w:szCs w:val="22"/>
              </w:rPr>
            </w:pPr>
            <w:r>
              <w:rPr>
                <w:rFonts w:cs="Calibri" w:ascii="Calibri" w:hAnsi="Calibri"/>
                <w:b/>
                <w:sz w:val="22"/>
                <w:szCs w:val="22"/>
              </w:rPr>
              <w:t>Celková kapacita ZSS</w:t>
            </w:r>
          </w:p>
        </w:tc>
        <w:tc>
          <w:tcPr>
            <w:tcW w:w="23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rFonts w:ascii="Calibri" w:hAnsi="Calibri" w:cs="Calibri"/>
                <w:sz w:val="22"/>
                <w:szCs w:val="22"/>
              </w:rPr>
            </w:pPr>
            <w:r>
              <w:rPr>
                <w:rFonts w:cs="Calibri" w:ascii="Calibri" w:hAnsi="Calibri"/>
                <w:sz w:val="22"/>
                <w:szCs w:val="22"/>
              </w:rPr>
              <w:t>Stanovená zriaďovateľom:   50</w:t>
            </w:r>
          </w:p>
        </w:tc>
      </w:tr>
      <w:tr>
        <w:trPr>
          <w:trHeight w:val="300" w:hRule="atLeast"/>
        </w:trPr>
        <w:tc>
          <w:tcPr>
            <w:tcW w:w="2435" w:type="dxa"/>
            <w:vMerge w:val="continue"/>
            <w:tcBorders>
              <w:top w:val="single" w:sz="4" w:space="0" w:color="000000"/>
              <w:left w:val="single" w:sz="4" w:space="0" w:color="000000"/>
              <w:bottom w:val="single" w:sz="4" w:space="0" w:color="000000"/>
            </w:tcBorders>
            <w:shd w:color="auto" w:fill="A1E7FD" w:val="clear"/>
          </w:tcPr>
          <w:p>
            <w:pPr>
              <w:pStyle w:val="Normal"/>
              <w:snapToGrid w:val="false"/>
              <w:spacing w:lineRule="atLeast" w:line="22" w:before="0" w:after="0"/>
              <w:contextualSpacing/>
              <w:rPr>
                <w:rFonts w:ascii="Calibri" w:hAnsi="Calibri" w:cs="Calibri"/>
                <w:b/>
                <w:b/>
                <w:sz w:val="22"/>
                <w:szCs w:val="22"/>
              </w:rPr>
            </w:pPr>
            <w:r>
              <w:rPr>
                <w:rFonts w:cs="Calibri" w:ascii="Calibri" w:hAnsi="Calibri"/>
                <w:b/>
                <w:sz w:val="22"/>
                <w:szCs w:val="22"/>
              </w:rPr>
            </w:r>
          </w:p>
        </w:tc>
        <w:tc>
          <w:tcPr>
            <w:tcW w:w="2570" w:type="dxa"/>
            <w:vMerge w:val="continue"/>
            <w:tcBorders>
              <w:top w:val="single" w:sz="4" w:space="0" w:color="000000"/>
              <w:left w:val="single" w:sz="4" w:space="0" w:color="000000"/>
              <w:bottom w:val="single" w:sz="4" w:space="0" w:color="000000"/>
            </w:tcBorders>
            <w:shd w:color="auto" w:fill="auto" w:val="clear"/>
          </w:tcPr>
          <w:p>
            <w:pPr>
              <w:pStyle w:val="Normal"/>
              <w:snapToGrid w:val="false"/>
              <w:spacing w:lineRule="atLeast" w:line="22" w:before="0" w:after="0"/>
              <w:contextualSpacing/>
              <w:rPr>
                <w:rFonts w:ascii="Calibri" w:hAnsi="Calibri" w:cs="Calibri"/>
                <w:sz w:val="22"/>
                <w:szCs w:val="22"/>
              </w:rPr>
            </w:pPr>
            <w:r>
              <w:rPr>
                <w:rFonts w:cs="Calibri" w:ascii="Calibri" w:hAnsi="Calibri"/>
                <w:sz w:val="22"/>
                <w:szCs w:val="22"/>
              </w:rPr>
            </w:r>
          </w:p>
        </w:tc>
        <w:tc>
          <w:tcPr>
            <w:tcW w:w="1874" w:type="dxa"/>
            <w:vMerge w:val="continue"/>
            <w:tcBorders>
              <w:top w:val="single" w:sz="4" w:space="0" w:color="000000"/>
              <w:left w:val="single" w:sz="4" w:space="0" w:color="000000"/>
              <w:bottom w:val="single" w:sz="4" w:space="0" w:color="000000"/>
            </w:tcBorders>
            <w:shd w:color="auto" w:fill="A1E7FD" w:val="clear"/>
          </w:tcPr>
          <w:p>
            <w:pPr>
              <w:pStyle w:val="Normal"/>
              <w:snapToGrid w:val="false"/>
              <w:spacing w:lineRule="atLeast" w:line="22" w:before="0" w:after="0"/>
              <w:contextualSpacing/>
              <w:rPr>
                <w:rFonts w:ascii="Calibri" w:hAnsi="Calibri" w:cs="Calibri"/>
                <w:sz w:val="22"/>
                <w:szCs w:val="22"/>
              </w:rPr>
            </w:pPr>
            <w:r>
              <w:rPr>
                <w:rFonts w:cs="Calibri" w:ascii="Calibri" w:hAnsi="Calibri"/>
                <w:sz w:val="22"/>
                <w:szCs w:val="22"/>
              </w:rPr>
            </w:r>
          </w:p>
        </w:tc>
        <w:tc>
          <w:tcPr>
            <w:tcW w:w="23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Skutočnosť:         50</w:t>
            </w:r>
          </w:p>
        </w:tc>
      </w:tr>
      <w:tr>
        <w:trPr/>
        <w:tc>
          <w:tcPr>
            <w:tcW w:w="2435"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E - mail</w:t>
            </w:r>
          </w:p>
        </w:tc>
        <w:tc>
          <w:tcPr>
            <w:tcW w:w="2570" w:type="dxa"/>
            <w:tcBorders>
              <w:top w:val="single" w:sz="4" w:space="0" w:color="000000"/>
              <w:left w:val="single" w:sz="4" w:space="0" w:color="000000"/>
              <w:bottom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dss@dsslvieska.sk</w:t>
            </w:r>
          </w:p>
        </w:tc>
        <w:tc>
          <w:tcPr>
            <w:tcW w:w="1874" w:type="dxa"/>
            <w:tcBorders>
              <w:top w:val="single" w:sz="4" w:space="0" w:color="000000"/>
              <w:left w:val="single" w:sz="4" w:space="0" w:color="000000"/>
              <w:bottom w:val="single" w:sz="4" w:space="0" w:color="000000"/>
            </w:tcBorders>
            <w:shd w:color="auto" w:fill="FFFFFF" w:val="clear"/>
          </w:tcPr>
          <w:p>
            <w:pPr>
              <w:pStyle w:val="Normal"/>
              <w:spacing w:lineRule="atLeast" w:line="22" w:before="0" w:after="0"/>
              <w:contextualSpacing/>
              <w:rPr>
                <w:sz w:val="22"/>
                <w:szCs w:val="22"/>
              </w:rPr>
            </w:pPr>
            <w:r>
              <w:rPr>
                <w:rFonts w:cs="Calibri" w:ascii="Calibri" w:hAnsi="Calibri"/>
                <w:sz w:val="22"/>
                <w:szCs w:val="22"/>
              </w:rPr>
              <w:t>www.dsslvieska.sk</w:t>
            </w:r>
          </w:p>
        </w:tc>
        <w:tc>
          <w:tcPr>
            <w:tcW w:w="2354"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tLeast" w:line="22" w:before="0" w:after="0"/>
              <w:contextualSpacing/>
              <w:rPr>
                <w:sz w:val="22"/>
                <w:szCs w:val="22"/>
              </w:rPr>
            </w:pPr>
            <w:r>
              <w:rPr>
                <w:rFonts w:cs="Calibri" w:ascii="Calibri" w:hAnsi="Calibri"/>
                <w:color w:val="FFFFFF"/>
                <w:sz w:val="22"/>
                <w:szCs w:val="22"/>
              </w:rPr>
              <w:t>dddssdssssddds</w:t>
            </w:r>
          </w:p>
        </w:tc>
      </w:tr>
      <w:tr>
        <w:trPr/>
        <w:tc>
          <w:tcPr>
            <w:tcW w:w="2435"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Názov zriaďovateľa</w:t>
            </w:r>
          </w:p>
        </w:tc>
        <w:tc>
          <w:tcPr>
            <w:tcW w:w="6798"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Banskobystrický samosprávny kraj</w:t>
            </w:r>
          </w:p>
        </w:tc>
      </w:tr>
      <w:tr>
        <w:trPr>
          <w:trHeight w:val="58" w:hRule="atLeast"/>
        </w:trPr>
        <w:tc>
          <w:tcPr>
            <w:tcW w:w="2435" w:type="dxa"/>
            <w:tcBorders>
              <w:top w:val="single" w:sz="4" w:space="0" w:color="000000"/>
              <w:left w:val="single" w:sz="4" w:space="0" w:color="000000"/>
              <w:bottom w:val="single" w:sz="4" w:space="0" w:color="000000"/>
            </w:tcBorders>
            <w:shd w:color="auto" w:fill="A1E7FD" w:val="clear"/>
          </w:tcPr>
          <w:p>
            <w:pPr>
              <w:pStyle w:val="Normal"/>
              <w:spacing w:lineRule="atLeast" w:line="22" w:before="0" w:after="0"/>
              <w:contextualSpacing/>
              <w:rPr>
                <w:b/>
                <w:b/>
                <w:sz w:val="22"/>
                <w:szCs w:val="22"/>
              </w:rPr>
            </w:pPr>
            <w:r>
              <w:rPr>
                <w:rFonts w:cs="Calibri" w:ascii="Calibri" w:hAnsi="Calibri"/>
                <w:b/>
                <w:sz w:val="22"/>
                <w:szCs w:val="22"/>
              </w:rPr>
              <w:t>Kontaktná adresa zriaďovateľa</w:t>
            </w:r>
          </w:p>
        </w:tc>
        <w:tc>
          <w:tcPr>
            <w:tcW w:w="6798"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rFonts w:cs="Calibri" w:ascii="Calibri" w:hAnsi="Calibri"/>
                <w:sz w:val="22"/>
                <w:szCs w:val="22"/>
              </w:rPr>
              <w:t>Námestie SNP 23</w:t>
            </w:r>
          </w:p>
          <w:p>
            <w:pPr>
              <w:pStyle w:val="Normal"/>
              <w:spacing w:lineRule="atLeast" w:line="22" w:before="0" w:after="0"/>
              <w:contextualSpacing/>
              <w:rPr>
                <w:sz w:val="22"/>
                <w:szCs w:val="22"/>
              </w:rPr>
            </w:pPr>
            <w:r>
              <w:rPr>
                <w:rFonts w:cs="Calibri" w:ascii="Calibri" w:hAnsi="Calibri"/>
                <w:sz w:val="22"/>
                <w:szCs w:val="22"/>
              </w:rPr>
              <w:t>Banská Bystrica, 974 01</w:t>
            </w:r>
          </w:p>
        </w:tc>
      </w:tr>
    </w:tbl>
    <w:p>
      <w:pPr>
        <w:pStyle w:val="Normal"/>
        <w:spacing w:lineRule="atLeast" w:line="22" w:before="0" w:after="200"/>
        <w:contextualSpacing/>
        <w:rPr>
          <w:sz w:val="22"/>
        </w:rPr>
      </w:pPr>
      <w:r>
        <w:rPr>
          <w:sz w:val="22"/>
        </w:rPr>
        <w:t>Tabuľka 1 Základné údaje</w:t>
      </w:r>
    </w:p>
    <w:p>
      <w:pPr>
        <w:pStyle w:val="Normal"/>
        <w:spacing w:lineRule="atLeast" w:line="22" w:before="0" w:after="200"/>
        <w:contextualSpacing/>
        <w:rPr>
          <w:color w:val="FF0000"/>
          <w:sz w:val="22"/>
        </w:rPr>
      </w:pPr>
      <w:r>
        <w:rPr>
          <w:color w:val="FF0000"/>
          <w:sz w:val="22"/>
        </w:rPr>
      </w:r>
    </w:p>
    <w:p>
      <w:pPr>
        <w:pStyle w:val="Normal"/>
        <w:spacing w:lineRule="atLeast" w:line="22" w:before="0" w:after="200"/>
        <w:contextualSpacing/>
        <w:rPr/>
      </w:pPr>
      <w:r>
        <w:rPr>
          <w:sz w:val="22"/>
        </w:rPr>
        <w:t>Zariadenie Domov sociálnych  služieb Ladomerská Vieska v súčasnosti poskytuje iba jeden druh sociálnej služby domov sociálnych služieb.</w:t>
      </w:r>
    </w:p>
    <w:p>
      <w:pPr>
        <w:pStyle w:val="Odstavecseseznamem1"/>
        <w:numPr>
          <w:ilvl w:val="0"/>
          <w:numId w:val="8"/>
        </w:numPr>
        <w:spacing w:lineRule="atLeast" w:line="22"/>
        <w:rPr/>
      </w:pPr>
      <w:r>
        <w:rPr>
          <w:b/>
          <w:sz w:val="22"/>
        </w:rPr>
        <w:t xml:space="preserve">celoročnou formou (50 miest), </w:t>
      </w:r>
    </w:p>
    <w:p>
      <w:pPr>
        <w:pStyle w:val="Odstavecseseznamem1"/>
        <w:spacing w:lineRule="atLeast" w:line="22"/>
        <w:ind w:left="1488" w:hanging="0"/>
        <w:rPr/>
      </w:pPr>
      <w:r>
        <w:rPr/>
      </w:r>
    </w:p>
    <w:p>
      <w:pPr>
        <w:pStyle w:val="Odstavecseseznamem1"/>
        <w:ind w:left="0" w:hanging="0"/>
        <w:rPr/>
      </w:pPr>
      <w:r>
        <w:rPr>
          <w:bCs/>
          <w:sz w:val="22"/>
        </w:rPr>
        <w:t>Predmetom deinštitucionalizácie/ transformácie bude 36 miest zo spomínaných 50 miest, nakoľko do  projektu sú zaradené pôvodné 3 objekty. Zvyšných 14 miest bude zaradených do transformácie v II. etape.</w:t>
      </w:r>
    </w:p>
    <w:p>
      <w:pPr>
        <w:pStyle w:val="Odstavecseseznamem1"/>
        <w:spacing w:lineRule="atLeast" w:line="22"/>
        <w:ind w:left="0" w:hanging="0"/>
        <w:rPr/>
      </w:pPr>
      <w:r>
        <w:rPr/>
      </w:r>
    </w:p>
    <w:p>
      <w:pPr>
        <w:pStyle w:val="Normal"/>
        <w:spacing w:lineRule="atLeast" w:line="22" w:before="0" w:after="200"/>
        <w:contextualSpacing/>
        <w:rPr>
          <w:sz w:val="22"/>
        </w:rPr>
      </w:pPr>
      <w:r>
        <w:rPr>
          <w:sz w:val="22"/>
        </w:rPr>
        <w:t>(tento údaj vychádza z reálneho počtu prijímateľov SS, ako aj z  kapacity zariadenia.)</w:t>
      </w:r>
    </w:p>
    <w:tbl>
      <w:tblPr>
        <w:tblW w:w="9234" w:type="dxa"/>
        <w:jc w:val="left"/>
        <w:tblInd w:w="109" w:type="dxa"/>
        <w:tblCellMar>
          <w:top w:w="0" w:type="dxa"/>
          <w:left w:w="108" w:type="dxa"/>
          <w:bottom w:w="0" w:type="dxa"/>
          <w:right w:w="108" w:type="dxa"/>
        </w:tblCellMar>
        <w:tblLook w:val="0000"/>
      </w:tblPr>
      <w:tblGrid>
        <w:gridCol w:w="4389"/>
        <w:gridCol w:w="4844"/>
      </w:tblGrid>
      <w:tr>
        <w:trPr/>
        <w:tc>
          <w:tcPr>
            <w:tcW w:w="9233" w:type="dxa"/>
            <w:gridSpan w:val="2"/>
            <w:tcBorders>
              <w:top w:val="single" w:sz="4" w:space="0" w:color="000000"/>
              <w:left w:val="single" w:sz="4" w:space="0" w:color="000000"/>
              <w:bottom w:val="single" w:sz="4" w:space="0" w:color="000000"/>
              <w:right w:val="single" w:sz="4" w:space="0" w:color="000000"/>
            </w:tcBorders>
            <w:shd w:color="auto" w:fill="A1E7FD" w:val="clear"/>
          </w:tcPr>
          <w:p>
            <w:pPr>
              <w:pStyle w:val="Normal"/>
              <w:spacing w:lineRule="atLeast" w:line="22" w:before="0" w:after="0"/>
              <w:contextualSpacing/>
              <w:jc w:val="center"/>
              <w:rPr>
                <w:b/>
                <w:b/>
                <w:sz w:val="22"/>
                <w:szCs w:val="22"/>
              </w:rPr>
            </w:pPr>
            <w:r>
              <w:rPr>
                <w:b/>
                <w:sz w:val="22"/>
                <w:szCs w:val="22"/>
              </w:rPr>
              <w:t>Štruktúra klientov</w:t>
            </w:r>
          </w:p>
        </w:tc>
      </w:tr>
      <w:tr>
        <w:trPr/>
        <w:tc>
          <w:tcPr>
            <w:tcW w:w="4389" w:type="dxa"/>
            <w:tcBorders>
              <w:top w:val="single" w:sz="4" w:space="0" w:color="000000"/>
              <w:left w:val="single" w:sz="4" w:space="0" w:color="000000"/>
              <w:bottom w:val="single" w:sz="4" w:space="0" w:color="000000"/>
            </w:tcBorders>
            <w:shd w:color="auto" w:fill="auto" w:val="clear"/>
          </w:tcPr>
          <w:p>
            <w:pPr>
              <w:pStyle w:val="Normal"/>
              <w:spacing w:lineRule="atLeast" w:line="22" w:before="0" w:after="0"/>
              <w:contextualSpacing/>
              <w:rPr>
                <w:b/>
                <w:b/>
                <w:sz w:val="22"/>
                <w:szCs w:val="22"/>
              </w:rPr>
            </w:pPr>
            <w:r>
              <w:rPr>
                <w:b/>
                <w:sz w:val="22"/>
                <w:szCs w:val="22"/>
              </w:rPr>
              <w:t>Počet klientov celkom</w:t>
            </w:r>
          </w:p>
        </w:tc>
        <w:tc>
          <w:tcPr>
            <w:tcW w:w="484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jc w:val="center"/>
              <w:rPr>
                <w:sz w:val="22"/>
                <w:szCs w:val="22"/>
              </w:rPr>
            </w:pPr>
            <w:r>
              <w:rPr>
                <w:sz w:val="22"/>
                <w:szCs w:val="22"/>
              </w:rPr>
              <w:t>50</w:t>
            </w:r>
          </w:p>
        </w:tc>
      </w:tr>
      <w:tr>
        <w:trPr/>
        <w:tc>
          <w:tcPr>
            <w:tcW w:w="92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b/>
                <w:sz w:val="22"/>
                <w:szCs w:val="22"/>
              </w:rPr>
              <w:t xml:space="preserve">Počet klientov podľa druhu sociálnej služby </w:t>
            </w:r>
          </w:p>
        </w:tc>
      </w:tr>
      <w:tr>
        <w:trPr/>
        <w:tc>
          <w:tcPr>
            <w:tcW w:w="4389" w:type="dxa"/>
            <w:tcBorders>
              <w:top w:val="single" w:sz="4" w:space="0" w:color="000000"/>
              <w:left w:val="single" w:sz="4" w:space="0" w:color="000000"/>
              <w:bottom w:val="single" w:sz="4" w:space="0" w:color="000000"/>
            </w:tcBorders>
            <w:shd w:color="auto" w:fill="auto" w:val="clear"/>
          </w:tcPr>
          <w:p>
            <w:pPr>
              <w:pStyle w:val="Normal"/>
              <w:spacing w:lineRule="atLeast" w:line="22" w:before="0" w:after="0"/>
              <w:contextualSpacing/>
              <w:rPr>
                <w:b/>
                <w:b/>
                <w:sz w:val="22"/>
                <w:szCs w:val="22"/>
              </w:rPr>
            </w:pPr>
            <w:r>
              <w:rPr>
                <w:b/>
                <w:sz w:val="22"/>
                <w:szCs w:val="22"/>
              </w:rPr>
              <w:t>DSS</w:t>
            </w:r>
          </w:p>
        </w:tc>
        <w:tc>
          <w:tcPr>
            <w:tcW w:w="484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jc w:val="center"/>
              <w:rPr>
                <w:sz w:val="22"/>
                <w:szCs w:val="22"/>
              </w:rPr>
            </w:pPr>
            <w:r>
              <w:rPr>
                <w:sz w:val="22"/>
                <w:szCs w:val="22"/>
              </w:rPr>
              <w:t>50</w:t>
            </w:r>
          </w:p>
        </w:tc>
      </w:tr>
      <w:tr>
        <w:trPr/>
        <w:tc>
          <w:tcPr>
            <w:tcW w:w="92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rPr>
                <w:sz w:val="22"/>
                <w:szCs w:val="22"/>
              </w:rPr>
            </w:pPr>
            <w:r>
              <w:rPr>
                <w:b/>
                <w:sz w:val="22"/>
                <w:szCs w:val="22"/>
              </w:rPr>
              <w:t xml:space="preserve">Počet klientov podľa formy sociálnej služby </w:t>
            </w:r>
          </w:p>
        </w:tc>
      </w:tr>
      <w:tr>
        <w:trPr/>
        <w:tc>
          <w:tcPr>
            <w:tcW w:w="4389" w:type="dxa"/>
            <w:tcBorders>
              <w:top w:val="single" w:sz="4" w:space="0" w:color="000000"/>
              <w:left w:val="single" w:sz="4" w:space="0" w:color="000000"/>
              <w:bottom w:val="single" w:sz="4" w:space="0" w:color="000000"/>
            </w:tcBorders>
            <w:shd w:color="auto" w:fill="auto" w:val="clear"/>
          </w:tcPr>
          <w:p>
            <w:pPr>
              <w:pStyle w:val="Normal"/>
              <w:spacing w:lineRule="atLeast" w:line="22" w:before="0" w:after="0"/>
              <w:contextualSpacing/>
              <w:rPr>
                <w:b/>
                <w:b/>
                <w:sz w:val="22"/>
                <w:szCs w:val="22"/>
              </w:rPr>
            </w:pPr>
            <w:r>
              <w:rPr>
                <w:b/>
                <w:sz w:val="22"/>
                <w:szCs w:val="22"/>
              </w:rPr>
              <w:t xml:space="preserve">Celoročný pobyt </w:t>
            </w:r>
          </w:p>
        </w:tc>
        <w:tc>
          <w:tcPr>
            <w:tcW w:w="484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tLeast" w:line="22" w:before="0" w:after="0"/>
              <w:contextualSpacing/>
              <w:jc w:val="center"/>
              <w:rPr>
                <w:sz w:val="22"/>
                <w:szCs w:val="22"/>
              </w:rPr>
            </w:pPr>
            <w:r>
              <w:rPr>
                <w:sz w:val="22"/>
                <w:szCs w:val="22"/>
              </w:rPr>
              <w:t>50</w:t>
            </w:r>
          </w:p>
        </w:tc>
      </w:tr>
    </w:tbl>
    <w:p>
      <w:pPr>
        <w:pStyle w:val="Odstavecseseznamem1"/>
        <w:spacing w:lineRule="atLeast" w:line="22"/>
        <w:ind w:left="0" w:hanging="0"/>
        <w:rPr>
          <w:sz w:val="22"/>
        </w:rPr>
      </w:pPr>
      <w:r>
        <w:rPr>
          <w:sz w:val="22"/>
        </w:rPr>
        <w:t>Tabuľka 2 Štruktúra prijímateľov sociálnej služby</w:t>
      </w:r>
    </w:p>
    <w:p>
      <w:pPr>
        <w:pStyle w:val="Normal"/>
        <w:jc w:val="both"/>
        <w:rPr>
          <w:sz w:val="22"/>
        </w:rPr>
      </w:pPr>
      <w:r>
        <w:rPr>
          <w:sz w:val="22"/>
        </w:rPr>
        <w:t xml:space="preserve">Detailná analýza zariadenia vrátane poskytovaných sociálnych služieb a činnosti v zariadení, realizovaných zmien v zariadení v posledných rokoch sa nachádza v Prílohe 2. </w:t>
      </w:r>
    </w:p>
    <w:p>
      <w:pPr>
        <w:pStyle w:val="Normal"/>
        <w:ind w:firstLine="708"/>
        <w:jc w:val="both"/>
        <w:rPr>
          <w:color w:val="000000"/>
          <w:sz w:val="22"/>
          <w:szCs w:val="22"/>
          <w:highlight w:val="white"/>
        </w:rPr>
      </w:pPr>
      <w:r>
        <w:rPr>
          <w:color w:val="000000"/>
          <w:sz w:val="22"/>
          <w:szCs w:val="22"/>
          <w:shd w:fill="FFFFFF" w:val="clear"/>
        </w:rPr>
        <w:t>V roku 1954, presne 15.5. bol zriadený v Ladomerskej Vieske Domov dôchodcov pre umiestnenie prestarlých obyvateľov. Budovy boli majetkom bývalého cirkevného spolku „ Laický apoštolát“. Umiestnených bolo 28 obyvateľov.  V roku 1959 sa ústav preklasifikoval na Ústav pre duševne chybných s kapacitou 60 / muži aj ženy/. V roku 1972 sa ukončili rekonštrukčné práce na Dankovom dome a tým sa navýšila kapacita na 105. Postupne prešlo zariadenie zmenami nielen v názve , ale aj v kapacite umiestnených klientov. V súčasnosti máme 50 klientov.</w:t>
      </w:r>
    </w:p>
    <w:p>
      <w:pPr>
        <w:pStyle w:val="Normal"/>
        <w:spacing w:lineRule="atLeast" w:line="22" w:before="0" w:after="200"/>
        <w:contextualSpacing/>
        <w:jc w:val="both"/>
        <w:rPr>
          <w:rFonts w:eastAsia="Times New Roman"/>
          <w:sz w:val="22"/>
          <w:lang w:eastAsia="sk-SK"/>
        </w:rPr>
      </w:pPr>
      <w:r>
        <w:rPr>
          <w:rFonts w:eastAsia="Times New Roman"/>
          <w:sz w:val="22"/>
          <w:lang w:eastAsia="sk-SK"/>
        </w:rPr>
        <w:t>Viac o histórii v prílohe</w:t>
      </w:r>
      <w:r>
        <w:rPr>
          <w:rStyle w:val="Odkaznakoment1"/>
          <w:sz w:val="22"/>
          <w:szCs w:val="22"/>
        </w:rPr>
        <w:t xml:space="preserve"> 3</w:t>
      </w:r>
      <w:r>
        <w:rPr>
          <w:rFonts w:eastAsia="Times New Roman"/>
          <w:sz w:val="22"/>
          <w:lang w:eastAsia="sk-SK"/>
        </w:rPr>
        <w:t>.</w:t>
      </w:r>
    </w:p>
    <w:p>
      <w:pPr>
        <w:pStyle w:val="Normal"/>
        <w:spacing w:lineRule="atLeast" w:line="22" w:before="0" w:after="200"/>
        <w:contextualSpacing/>
        <w:jc w:val="both"/>
        <w:rPr>
          <w:rFonts w:eastAsia="Times New Roman"/>
          <w:sz w:val="22"/>
          <w:lang w:eastAsia="sk-SK"/>
        </w:rPr>
      </w:pPr>
      <w:r>
        <w:rPr>
          <w:rFonts w:eastAsia="Times New Roman"/>
          <w:sz w:val="22"/>
          <w:lang w:eastAsia="sk-SK"/>
        </w:rPr>
      </w:r>
    </w:p>
    <w:p>
      <w:pPr>
        <w:pStyle w:val="Normal"/>
        <w:spacing w:lineRule="atLeast" w:line="22" w:before="0" w:after="200"/>
        <w:contextualSpacing/>
        <w:jc w:val="both"/>
        <w:rPr>
          <w:rFonts w:ascii="Calibri" w:hAnsi="Calibri" w:eastAsia="Times New Roman" w:cs="Calibri"/>
          <w:sz w:val="22"/>
          <w:lang w:eastAsia="sk-SK"/>
        </w:rPr>
      </w:pPr>
      <w:r>
        <w:rPr>
          <w:rFonts w:eastAsia="Times New Roman" w:cs="Calibri" w:ascii="Calibri" w:hAnsi="Calibri"/>
          <w:sz w:val="22"/>
          <w:lang w:eastAsia="sk-SK"/>
        </w:rPr>
      </w:r>
    </w:p>
    <w:p>
      <w:pPr>
        <w:pStyle w:val="Normal"/>
        <w:spacing w:lineRule="atLeast" w:line="22" w:before="0" w:after="200"/>
        <w:contextualSpacing/>
        <w:jc w:val="both"/>
        <w:rPr>
          <w:rFonts w:ascii="Calibri" w:hAnsi="Calibri" w:eastAsia="Times New Roman" w:cs="Calibri"/>
          <w:sz w:val="22"/>
          <w:lang w:eastAsia="sk-SK"/>
        </w:rPr>
      </w:pPr>
      <w:r>
        <w:rPr>
          <w:rFonts w:eastAsia="Times New Roman" w:cs="Calibri" w:ascii="Calibri" w:hAnsi="Calibri"/>
          <w:sz w:val="22"/>
          <w:lang w:eastAsia="sk-SK"/>
        </w:rPr>
      </w:r>
    </w:p>
    <w:p>
      <w:pPr>
        <w:pStyle w:val="Normal"/>
        <w:spacing w:lineRule="atLeast" w:line="22" w:before="0" w:after="200"/>
        <w:contextualSpacing/>
        <w:jc w:val="both"/>
        <w:rPr>
          <w:rFonts w:ascii="Calibri" w:hAnsi="Calibri" w:eastAsia="Times New Roman" w:cs="Calibri"/>
          <w:sz w:val="22"/>
          <w:lang w:eastAsia="sk-SK"/>
        </w:rPr>
      </w:pPr>
      <w:r>
        <w:rPr>
          <w:rFonts w:eastAsia="Times New Roman" w:cs="Calibri" w:ascii="Calibri" w:hAnsi="Calibri"/>
          <w:sz w:val="22"/>
          <w:lang w:eastAsia="sk-SK"/>
        </w:rPr>
      </w:r>
    </w:p>
    <w:p>
      <w:pPr>
        <w:pStyle w:val="Normal"/>
        <w:spacing w:lineRule="atLeast" w:line="22" w:before="0" w:after="200"/>
        <w:contextualSpacing/>
        <w:jc w:val="both"/>
        <w:rPr>
          <w:rFonts w:ascii="Calibri" w:hAnsi="Calibri" w:eastAsia="Times New Roman" w:cs="Calibri"/>
          <w:sz w:val="22"/>
          <w:lang w:eastAsia="sk-SK"/>
        </w:rPr>
      </w:pPr>
      <w:r>
        <w:rPr>
          <w:rFonts w:eastAsia="Times New Roman" w:cs="Calibri" w:ascii="Calibri" w:hAnsi="Calibri"/>
          <w:sz w:val="22"/>
          <w:lang w:eastAsia="sk-SK"/>
        </w:rPr>
      </w:r>
    </w:p>
    <w:p>
      <w:pPr>
        <w:pStyle w:val="Normal"/>
        <w:spacing w:lineRule="atLeast" w:line="22" w:before="0" w:after="200"/>
        <w:contextualSpacing/>
        <w:jc w:val="both"/>
        <w:rPr>
          <w:rFonts w:ascii="Calibri" w:hAnsi="Calibri" w:eastAsia="Times New Roman" w:cs="Calibri"/>
          <w:sz w:val="22"/>
          <w:lang w:eastAsia="sk-SK"/>
        </w:rPr>
      </w:pPr>
      <w:r>
        <w:rPr>
          <w:rFonts w:eastAsia="Times New Roman" w:cs="Calibri" w:ascii="Calibri" w:hAnsi="Calibri"/>
          <w:sz w:val="22"/>
          <w:lang w:eastAsia="sk-SK"/>
        </w:rPr>
      </w:r>
    </w:p>
    <w:p>
      <w:pPr>
        <w:pStyle w:val="Normal"/>
        <w:spacing w:lineRule="atLeast" w:line="22" w:before="0" w:after="200"/>
        <w:contextualSpacing/>
        <w:jc w:val="both"/>
        <w:rPr>
          <w:rFonts w:ascii="Calibri" w:hAnsi="Calibri" w:eastAsia="Times New Roman" w:cs="Calibri"/>
          <w:sz w:val="22"/>
          <w:lang w:eastAsia="sk-SK"/>
        </w:rPr>
      </w:pPr>
      <w:r>
        <w:rPr>
          <w:rFonts w:eastAsia="Times New Roman" w:cs="Calibri" w:ascii="Calibri" w:hAnsi="Calibri"/>
          <w:sz w:val="22"/>
          <w:lang w:eastAsia="sk-SK"/>
        </w:rPr>
      </w:r>
    </w:p>
    <w:p>
      <w:pPr>
        <w:pStyle w:val="Nadpis21"/>
        <w:ind w:left="1070" w:hanging="360"/>
        <w:rPr/>
      </w:pPr>
      <w:bookmarkStart w:id="6" w:name="_Toc71021255"/>
      <w:r>
        <w:rPr/>
        <w:t>2.2. Personálna štruktúra zariadenia sociálnych služieb k 30.11.2020:</w:t>
      </w:r>
      <w:bookmarkEnd w:id="6"/>
    </w:p>
    <w:tbl>
      <w:tblPr>
        <w:tblW w:w="9180" w:type="dxa"/>
        <w:jc w:val="center"/>
        <w:tblInd w:w="0" w:type="dxa"/>
        <w:tblCellMar>
          <w:top w:w="0" w:type="dxa"/>
          <w:left w:w="108" w:type="dxa"/>
          <w:bottom w:w="0" w:type="dxa"/>
          <w:right w:w="108" w:type="dxa"/>
        </w:tblCellMar>
        <w:tblLook w:val="04a0"/>
      </w:tblPr>
      <w:tblGrid>
        <w:gridCol w:w="4443"/>
        <w:gridCol w:w="1359"/>
        <w:gridCol w:w="989"/>
        <w:gridCol w:w="1132"/>
        <w:gridCol w:w="1257"/>
      </w:tblGrid>
      <w:tr>
        <w:trPr/>
        <w:tc>
          <w:tcPr>
            <w:tcW w:w="4443" w:type="dxa"/>
            <w:vMerge w:val="restart"/>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contextualSpacing/>
              <w:rPr>
                <w:rFonts w:ascii="Calibri" w:hAnsi="Calibri" w:cs="Calibri"/>
                <w:b/>
                <w:b/>
                <w:bCs/>
                <w:sz w:val="22"/>
              </w:rPr>
            </w:pPr>
            <w:r>
              <w:rPr>
                <w:rFonts w:cs="Calibri" w:ascii="Calibri" w:hAnsi="Calibri"/>
                <w:b/>
                <w:bCs/>
                <w:sz w:val="22"/>
              </w:rPr>
              <w:t>Zamestnanci</w:t>
            </w:r>
          </w:p>
        </w:tc>
        <w:tc>
          <w:tcPr>
            <w:tcW w:w="1359" w:type="dxa"/>
            <w:vMerge w:val="restart"/>
            <w:tcBorders>
              <w:top w:val="single" w:sz="4" w:space="0" w:color="000000"/>
              <w:left w:val="single" w:sz="4" w:space="0" w:color="000000"/>
              <w:bottom w:val="single" w:sz="4" w:space="0" w:color="000000"/>
              <w:right w:val="single" w:sz="4" w:space="0" w:color="000000"/>
            </w:tcBorders>
            <w:shd w:color="auto" w:fill="A1E7FD" w:val="clear"/>
          </w:tcPr>
          <w:p>
            <w:pPr>
              <w:pStyle w:val="Normal"/>
              <w:spacing w:lineRule="auto" w:line="240" w:before="0" w:after="0"/>
              <w:contextualSpacing/>
              <w:jc w:val="center"/>
              <w:rPr>
                <w:rFonts w:ascii="Calibri" w:hAnsi="Calibri" w:cs="Calibri"/>
                <w:b/>
                <w:b/>
                <w:sz w:val="22"/>
              </w:rPr>
            </w:pPr>
            <w:r>
              <w:rPr>
                <w:rFonts w:cs="Calibri" w:ascii="Calibri" w:hAnsi="Calibri"/>
                <w:b/>
                <w:sz w:val="22"/>
              </w:rPr>
              <w:t>Počet celých úväzkov</w:t>
            </w:r>
          </w:p>
        </w:tc>
        <w:tc>
          <w:tcPr>
            <w:tcW w:w="989" w:type="dxa"/>
            <w:vMerge w:val="restart"/>
            <w:tcBorders>
              <w:top w:val="single" w:sz="4" w:space="0" w:color="000000"/>
              <w:left w:val="single" w:sz="4" w:space="0" w:color="000000"/>
              <w:bottom w:val="single" w:sz="4" w:space="0" w:color="000000"/>
              <w:right w:val="single" w:sz="4" w:space="0" w:color="000000"/>
            </w:tcBorders>
            <w:shd w:color="auto" w:fill="A1E7FD" w:val="clear"/>
          </w:tcPr>
          <w:p>
            <w:pPr>
              <w:pStyle w:val="Normal"/>
              <w:spacing w:lineRule="auto" w:line="240" w:before="0" w:after="0"/>
              <w:contextualSpacing/>
              <w:jc w:val="center"/>
              <w:rPr>
                <w:rFonts w:ascii="Calibri" w:hAnsi="Calibri" w:cs="Calibri"/>
                <w:b/>
                <w:b/>
                <w:sz w:val="22"/>
              </w:rPr>
            </w:pPr>
            <w:r>
              <w:rPr>
                <w:rFonts w:cs="Calibri" w:ascii="Calibri" w:hAnsi="Calibri"/>
                <w:b/>
                <w:sz w:val="22"/>
              </w:rPr>
              <w:t>Počet</w:t>
            </w:r>
          </w:p>
          <w:p>
            <w:pPr>
              <w:pStyle w:val="Normal"/>
              <w:spacing w:lineRule="auto" w:line="240" w:before="0" w:after="0"/>
              <w:contextualSpacing/>
              <w:jc w:val="center"/>
              <w:rPr>
                <w:rFonts w:ascii="Calibri" w:hAnsi="Calibri" w:cs="Calibri"/>
                <w:b/>
                <w:b/>
                <w:sz w:val="22"/>
              </w:rPr>
            </w:pPr>
            <w:r>
              <w:rPr>
                <w:rFonts w:cs="Calibri" w:ascii="Calibri" w:hAnsi="Calibri"/>
                <w:b/>
                <w:sz w:val="22"/>
              </w:rPr>
              <w:t>osôb</w:t>
            </w:r>
          </w:p>
        </w:tc>
        <w:tc>
          <w:tcPr>
            <w:tcW w:w="2389" w:type="dxa"/>
            <w:gridSpan w:val="2"/>
            <w:tcBorders>
              <w:top w:val="single" w:sz="4" w:space="0" w:color="000000"/>
              <w:left w:val="single" w:sz="4" w:space="0" w:color="000000"/>
              <w:bottom w:val="single" w:sz="4" w:space="0" w:color="000000"/>
              <w:right w:val="single" w:sz="4" w:space="0" w:color="000000"/>
            </w:tcBorders>
            <w:shd w:color="auto" w:fill="A1E7FD" w:val="clear"/>
          </w:tcPr>
          <w:p>
            <w:pPr>
              <w:pStyle w:val="Normal"/>
              <w:spacing w:lineRule="auto" w:line="240" w:before="0" w:after="0"/>
              <w:contextualSpacing/>
              <w:jc w:val="center"/>
              <w:rPr>
                <w:rFonts w:ascii="Calibri" w:hAnsi="Calibri" w:cs="Calibri"/>
                <w:b/>
                <w:b/>
                <w:sz w:val="22"/>
              </w:rPr>
            </w:pPr>
            <w:r>
              <w:rPr>
                <w:rFonts w:cs="Calibri" w:ascii="Calibri" w:hAnsi="Calibri"/>
                <w:b/>
                <w:sz w:val="22"/>
              </w:rPr>
              <w:t>Z toho</w:t>
            </w:r>
          </w:p>
        </w:tc>
      </w:tr>
      <w:tr>
        <w:trPr/>
        <w:tc>
          <w:tcPr>
            <w:tcW w:w="4443" w:type="dxa"/>
            <w:vMerge w:val="continue"/>
            <w:tcBorders>
              <w:top w:val="single" w:sz="4" w:space="0" w:color="000000"/>
              <w:left w:val="single" w:sz="4" w:space="0" w:color="000000"/>
              <w:bottom w:val="single" w:sz="4" w:space="0" w:color="000000"/>
              <w:right w:val="single" w:sz="4" w:space="0" w:color="000000"/>
            </w:tcBorders>
            <w:shd w:color="auto" w:fill="A1E7FD" w:val="clear"/>
          </w:tcPr>
          <w:p>
            <w:pPr>
              <w:pStyle w:val="Normal"/>
              <w:spacing w:lineRule="auto" w:line="240" w:before="0" w:after="0"/>
              <w:contextualSpacing/>
              <w:rPr>
                <w:rFonts w:ascii="Calibri" w:hAnsi="Calibri" w:cs="Calibri"/>
                <w:sz w:val="22"/>
              </w:rPr>
            </w:pPr>
            <w:r>
              <w:rPr>
                <w:rFonts w:cs="Calibri" w:ascii="Calibri" w:hAnsi="Calibri"/>
                <w:sz w:val="22"/>
              </w:rPr>
            </w:r>
          </w:p>
        </w:tc>
        <w:tc>
          <w:tcPr>
            <w:tcW w:w="1359" w:type="dxa"/>
            <w:vMerge w:val="continue"/>
            <w:tcBorders>
              <w:top w:val="single" w:sz="4" w:space="0" w:color="000000"/>
              <w:left w:val="single" w:sz="4" w:space="0" w:color="000000"/>
              <w:bottom w:val="single" w:sz="4" w:space="0" w:color="000000"/>
              <w:right w:val="single" w:sz="4" w:space="0" w:color="000000"/>
            </w:tcBorders>
            <w:shd w:color="auto" w:fill="A1E7FD" w:val="clear"/>
          </w:tcPr>
          <w:p>
            <w:pPr>
              <w:pStyle w:val="Normal"/>
              <w:spacing w:lineRule="auto" w:line="240" w:before="0" w:after="0"/>
              <w:contextualSpacing/>
              <w:jc w:val="center"/>
              <w:rPr>
                <w:rFonts w:ascii="Calibri" w:hAnsi="Calibri" w:cs="Calibri"/>
                <w:b/>
                <w:b/>
                <w:sz w:val="22"/>
              </w:rPr>
            </w:pPr>
            <w:r>
              <w:rPr>
                <w:rFonts w:cs="Calibri" w:ascii="Calibri" w:hAnsi="Calibri"/>
                <w:b/>
                <w:sz w:val="22"/>
              </w:rPr>
            </w:r>
          </w:p>
        </w:tc>
        <w:tc>
          <w:tcPr>
            <w:tcW w:w="989" w:type="dxa"/>
            <w:vMerge w:val="continue"/>
            <w:tcBorders>
              <w:top w:val="single" w:sz="4" w:space="0" w:color="000000"/>
              <w:left w:val="single" w:sz="4" w:space="0" w:color="000000"/>
              <w:bottom w:val="single" w:sz="4" w:space="0" w:color="000000"/>
              <w:right w:val="single" w:sz="4" w:space="0" w:color="000000"/>
            </w:tcBorders>
            <w:shd w:color="auto" w:fill="A1E7FD" w:val="clear"/>
          </w:tcPr>
          <w:p>
            <w:pPr>
              <w:pStyle w:val="Normal"/>
              <w:spacing w:lineRule="auto" w:line="240" w:before="0" w:after="0"/>
              <w:contextualSpacing/>
              <w:jc w:val="center"/>
              <w:rPr>
                <w:rFonts w:ascii="Calibri" w:hAnsi="Calibri" w:cs="Calibri"/>
                <w:b/>
                <w:b/>
                <w:sz w:val="22"/>
              </w:rPr>
            </w:pPr>
            <w:r>
              <w:rPr>
                <w:rFonts w:cs="Calibri" w:ascii="Calibri" w:hAnsi="Calibri"/>
                <w:b/>
                <w:sz w:val="22"/>
              </w:rPr>
            </w:r>
          </w:p>
        </w:tc>
        <w:tc>
          <w:tcPr>
            <w:tcW w:w="1132" w:type="dxa"/>
            <w:tcBorders>
              <w:top w:val="single" w:sz="4" w:space="0" w:color="000000"/>
              <w:left w:val="single" w:sz="4" w:space="0" w:color="000000"/>
              <w:bottom w:val="single" w:sz="4" w:space="0" w:color="000000"/>
              <w:right w:val="single" w:sz="4" w:space="0" w:color="000000"/>
            </w:tcBorders>
            <w:shd w:color="auto" w:fill="A1E7FD" w:val="clear"/>
          </w:tcPr>
          <w:p>
            <w:pPr>
              <w:pStyle w:val="Normal"/>
              <w:spacing w:lineRule="auto" w:line="240" w:before="0" w:after="0"/>
              <w:contextualSpacing/>
              <w:jc w:val="center"/>
              <w:rPr>
                <w:rFonts w:ascii="Calibri" w:hAnsi="Calibri" w:cs="Calibri"/>
                <w:b/>
                <w:b/>
                <w:sz w:val="22"/>
              </w:rPr>
            </w:pPr>
            <w:r>
              <w:rPr>
                <w:rFonts w:cs="Calibri" w:ascii="Calibri" w:hAnsi="Calibri"/>
                <w:b/>
                <w:sz w:val="22"/>
              </w:rPr>
              <w:t>Mužov</w:t>
            </w:r>
          </w:p>
        </w:tc>
        <w:tc>
          <w:tcPr>
            <w:tcW w:w="1257" w:type="dxa"/>
            <w:tcBorders>
              <w:top w:val="single" w:sz="4" w:space="0" w:color="000000"/>
              <w:left w:val="single" w:sz="4" w:space="0" w:color="000000"/>
              <w:bottom w:val="single" w:sz="4" w:space="0" w:color="000000"/>
              <w:right w:val="single" w:sz="4" w:space="0" w:color="000000"/>
            </w:tcBorders>
            <w:shd w:color="auto" w:fill="A1E7FD" w:val="clear"/>
          </w:tcPr>
          <w:p>
            <w:pPr>
              <w:pStyle w:val="Normal"/>
              <w:spacing w:lineRule="auto" w:line="240" w:before="0" w:after="0"/>
              <w:contextualSpacing/>
              <w:jc w:val="center"/>
              <w:rPr>
                <w:rFonts w:ascii="Calibri" w:hAnsi="Calibri" w:cs="Calibri"/>
                <w:b/>
                <w:b/>
                <w:sz w:val="22"/>
              </w:rPr>
            </w:pPr>
            <w:r>
              <w:rPr>
                <w:rFonts w:cs="Calibri" w:ascii="Calibri" w:hAnsi="Calibri"/>
                <w:b/>
                <w:sz w:val="22"/>
              </w:rPr>
              <w:t>Žien</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40" w:before="0" w:after="0"/>
              <w:contextualSpacing/>
              <w:rPr>
                <w:rFonts w:ascii="Calibri" w:hAnsi="Calibri" w:cs="Calibri"/>
                <w:b/>
                <w:b/>
                <w:sz w:val="22"/>
              </w:rPr>
            </w:pPr>
            <w:r>
              <w:rPr>
                <w:rFonts w:cs="Calibri" w:ascii="Calibri" w:hAnsi="Calibri"/>
                <w:b/>
                <w:sz w:val="22"/>
              </w:rPr>
              <w:t>Počet interných zamestnancov</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28</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28</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27</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40" w:before="0" w:after="0"/>
              <w:contextualSpacing/>
              <w:rPr>
                <w:rFonts w:ascii="Calibri" w:hAnsi="Calibri" w:cs="Calibri"/>
                <w:b/>
                <w:b/>
                <w:sz w:val="22"/>
              </w:rPr>
            </w:pPr>
            <w:r>
              <w:rPr>
                <w:rFonts w:cs="Calibri" w:ascii="Calibri" w:hAnsi="Calibri"/>
                <w:b/>
                <w:sz w:val="22"/>
              </w:rPr>
              <w:t>Počet externých zamestnancov</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0</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0</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40" w:before="0" w:after="0"/>
              <w:contextualSpacing/>
              <w:rPr>
                <w:rFonts w:ascii="Calibri" w:hAnsi="Calibri" w:cs="Calibri"/>
                <w:b/>
                <w:b/>
                <w:sz w:val="22"/>
              </w:rPr>
            </w:pPr>
            <w:r>
              <w:rPr>
                <w:rFonts w:cs="Calibri" w:ascii="Calibri" w:hAnsi="Calibri"/>
                <w:b/>
                <w:sz w:val="22"/>
              </w:rPr>
              <w:t>Počet príležitostných dobrovoľníkov</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10</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5</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5</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40" w:before="0" w:after="0"/>
              <w:contextualSpacing/>
              <w:rPr>
                <w:rFonts w:ascii="Calibri" w:hAnsi="Calibri" w:cs="Calibri"/>
                <w:b/>
                <w:b/>
                <w:sz w:val="22"/>
              </w:rPr>
            </w:pPr>
            <w:r>
              <w:rPr>
                <w:rFonts w:cs="Calibri" w:ascii="Calibri" w:hAnsi="Calibri"/>
                <w:b/>
                <w:sz w:val="22"/>
              </w:rPr>
              <w:t>Počet odborných interných zamestnancov</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17</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17</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16</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240" w:before="0" w:after="0"/>
              <w:contextualSpacing/>
              <w:rPr>
                <w:rFonts w:ascii="Calibri" w:hAnsi="Calibri" w:cs="Calibri"/>
                <w:b/>
                <w:b/>
                <w:sz w:val="22"/>
              </w:rPr>
            </w:pPr>
            <w:r>
              <w:rPr>
                <w:rFonts w:cs="Calibri" w:ascii="Calibri" w:hAnsi="Calibri"/>
                <w:b/>
                <w:sz w:val="22"/>
              </w:rPr>
              <w:t xml:space="preserve">Sociálni pracovníci </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 xml:space="preserve">3 </w:t>
            </w:r>
          </w:p>
          <w:p>
            <w:pPr>
              <w:pStyle w:val="Normal"/>
              <w:spacing w:lineRule="auto" w:line="240" w:before="0" w:after="0"/>
              <w:contextualSpacing/>
              <w:jc w:val="center"/>
              <w:rPr>
                <w:rFonts w:ascii="Calibri" w:hAnsi="Calibri" w:cs="Calibri"/>
                <w:sz w:val="22"/>
              </w:rPr>
            </w:pPr>
            <w:r>
              <w:rPr>
                <w:rFonts w:cs="Calibri" w:ascii="Calibri" w:hAnsi="Calibri"/>
                <w:sz w:val="16"/>
                <w:szCs w:val="16"/>
              </w:rPr>
              <w:t>(vrátane 1 vedúceho úseku)</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r>
          </w:p>
          <w:p>
            <w:pPr>
              <w:pStyle w:val="Normal"/>
              <w:spacing w:lineRule="auto" w:line="240" w:before="0" w:after="0"/>
              <w:contextualSpacing/>
              <w:jc w:val="center"/>
              <w:rPr>
                <w:rFonts w:ascii="Calibri" w:hAnsi="Calibri" w:cs="Calibri"/>
                <w:sz w:val="22"/>
              </w:rPr>
            </w:pPr>
            <w:r>
              <w:rPr>
                <w:rFonts w:cs="Calibri" w:ascii="Calibri" w:hAnsi="Calibri"/>
                <w:sz w:val="22"/>
              </w:rPr>
              <w:t>3</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r>
          </w:p>
          <w:p>
            <w:pPr>
              <w:pStyle w:val="Normal"/>
              <w:spacing w:lineRule="auto" w:line="240" w:before="0" w:after="0"/>
              <w:contextualSpacing/>
              <w:jc w:val="center"/>
              <w:rPr>
                <w:rFonts w:ascii="Calibri" w:hAnsi="Calibri" w:cs="Calibri"/>
                <w:sz w:val="22"/>
              </w:rPr>
            </w:pPr>
            <w:r>
              <w:rPr>
                <w:rFonts w:cs="Calibri" w:ascii="Calibri" w:hAnsi="Calibri"/>
                <w:sz w:val="22"/>
              </w:rPr>
              <w:t>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r>
          </w:p>
          <w:p>
            <w:pPr>
              <w:pStyle w:val="Normal"/>
              <w:spacing w:lineRule="auto" w:line="240" w:before="0" w:after="0"/>
              <w:contextualSpacing/>
              <w:jc w:val="center"/>
              <w:rPr>
                <w:rFonts w:ascii="Calibri" w:hAnsi="Calibri" w:cs="Calibri"/>
                <w:sz w:val="22"/>
              </w:rPr>
            </w:pPr>
            <w:r>
              <w:rPr>
                <w:rFonts w:cs="Calibri" w:ascii="Calibri" w:hAnsi="Calibri"/>
                <w:sz w:val="22"/>
              </w:rPr>
              <w:t>3</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lineRule="auto" w:line="240" w:before="0" w:after="0"/>
              <w:contextualSpacing/>
              <w:rPr>
                <w:rFonts w:ascii="Calibri" w:hAnsi="Calibri" w:cs="Calibri"/>
                <w:b/>
                <w:b/>
                <w:sz w:val="22"/>
              </w:rPr>
            </w:pPr>
            <w:r>
              <w:rPr>
                <w:rFonts w:cs="Calibri" w:ascii="Calibri" w:hAnsi="Calibri"/>
                <w:b/>
                <w:sz w:val="22"/>
              </w:rPr>
              <w:t xml:space="preserve">Zdravotnícki pracovníci </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12</w:t>
            </w:r>
          </w:p>
          <w:p>
            <w:pPr>
              <w:pStyle w:val="Normal"/>
              <w:spacing w:lineRule="auto" w:line="240" w:before="0" w:after="0"/>
              <w:contextualSpacing/>
              <w:jc w:val="center"/>
              <w:rPr>
                <w:rFonts w:ascii="Calibri" w:hAnsi="Calibri" w:cs="Calibri"/>
                <w:sz w:val="22"/>
              </w:rPr>
            </w:pPr>
            <w:r>
              <w:rPr>
                <w:rFonts w:cs="Calibri" w:ascii="Calibri" w:hAnsi="Calibri"/>
                <w:sz w:val="16"/>
                <w:szCs w:val="16"/>
              </w:rPr>
              <w:t>(vrátane 1 vedúceho úseku)</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r>
          </w:p>
          <w:p>
            <w:pPr>
              <w:pStyle w:val="Normal"/>
              <w:spacing w:lineRule="auto" w:line="240" w:before="0" w:after="0"/>
              <w:contextualSpacing/>
              <w:jc w:val="center"/>
              <w:rPr>
                <w:rFonts w:ascii="Calibri" w:hAnsi="Calibri" w:cs="Calibri"/>
                <w:sz w:val="22"/>
              </w:rPr>
            </w:pPr>
            <w:r>
              <w:rPr>
                <w:rFonts w:cs="Calibri" w:ascii="Calibri" w:hAnsi="Calibri"/>
                <w:sz w:val="22"/>
              </w:rPr>
              <w:t>12</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r>
          </w:p>
          <w:p>
            <w:pPr>
              <w:pStyle w:val="Normal"/>
              <w:spacing w:lineRule="auto" w:line="240" w:before="0" w:after="0"/>
              <w:contextualSpacing/>
              <w:jc w:val="center"/>
              <w:rPr>
                <w:rFonts w:ascii="Calibri" w:hAnsi="Calibri" w:cs="Calibri"/>
                <w:sz w:val="22"/>
              </w:rPr>
            </w:pPr>
            <w:r>
              <w:rPr>
                <w:rFonts w:cs="Calibri" w:ascii="Calibri" w:hAnsi="Calibri"/>
                <w:sz w:val="22"/>
              </w:rPr>
              <w:t>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r>
          </w:p>
          <w:p>
            <w:pPr>
              <w:pStyle w:val="Normal"/>
              <w:spacing w:lineRule="auto" w:line="240" w:before="0" w:after="0"/>
              <w:contextualSpacing/>
              <w:jc w:val="center"/>
              <w:rPr>
                <w:rFonts w:ascii="Calibri" w:hAnsi="Calibri" w:cs="Calibri"/>
                <w:sz w:val="22"/>
              </w:rPr>
            </w:pPr>
            <w:r>
              <w:rPr>
                <w:rFonts w:cs="Calibri" w:ascii="Calibri" w:hAnsi="Calibri"/>
                <w:sz w:val="22"/>
              </w:rPr>
              <w:t>12</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40" w:before="0" w:after="0"/>
              <w:contextualSpacing/>
              <w:rPr>
                <w:rFonts w:ascii="Calibri" w:hAnsi="Calibri" w:cs="Calibri"/>
                <w:b/>
                <w:b/>
                <w:sz w:val="22"/>
              </w:rPr>
            </w:pPr>
            <w:r>
              <w:rPr>
                <w:rFonts w:cs="Calibri" w:ascii="Calibri" w:hAnsi="Calibri"/>
                <w:b/>
                <w:sz w:val="22"/>
              </w:rPr>
              <w:t xml:space="preserve">Iní odborní zamestnanci - inštruktori SR </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40" w:before="0" w:after="0"/>
              <w:contextualSpacing/>
              <w:rPr>
                <w:rFonts w:ascii="Calibri" w:hAnsi="Calibri" w:cs="Calibri"/>
                <w:b/>
                <w:b/>
                <w:sz w:val="22"/>
              </w:rPr>
            </w:pPr>
            <w:r>
              <w:rPr>
                <w:rFonts w:cs="Calibri" w:ascii="Calibri" w:hAnsi="Calibri"/>
                <w:b/>
                <w:sz w:val="22"/>
              </w:rPr>
              <w:t>Počet administratívnych zamestnancov</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3</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3</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3</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40" w:before="0" w:after="0"/>
              <w:contextualSpacing/>
              <w:rPr>
                <w:rFonts w:ascii="Calibri" w:hAnsi="Calibri" w:cs="Calibri"/>
                <w:b/>
                <w:b/>
                <w:sz w:val="22"/>
              </w:rPr>
            </w:pPr>
            <w:r>
              <w:rPr>
                <w:rFonts w:cs="Calibri" w:ascii="Calibri" w:hAnsi="Calibri"/>
                <w:b/>
                <w:sz w:val="22"/>
              </w:rPr>
              <w:t xml:space="preserve">Počet prevádzkových zamestnancov </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7</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7</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1</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6</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40" w:before="0" w:after="0"/>
              <w:contextualSpacing/>
              <w:rPr>
                <w:rFonts w:ascii="Calibri" w:hAnsi="Calibri" w:cs="Calibri"/>
                <w:b/>
                <w:b/>
                <w:sz w:val="22"/>
              </w:rPr>
            </w:pPr>
            <w:r>
              <w:rPr>
                <w:rFonts w:cs="Calibri" w:ascii="Calibri" w:hAnsi="Calibri"/>
                <w:b/>
                <w:sz w:val="22"/>
              </w:rPr>
              <w:t xml:space="preserve">Počet vedúcich pracovníkov </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w:t>
            </w:r>
          </w:p>
        </w:tc>
      </w:tr>
      <w:tr>
        <w:trPr/>
        <w:tc>
          <w:tcPr>
            <w:tcW w:w="4443" w:type="dxa"/>
            <w:tcBorders>
              <w:top w:val="single" w:sz="4" w:space="0" w:color="000000"/>
              <w:left w:val="single" w:sz="4" w:space="0" w:color="000000"/>
              <w:bottom w:val="single" w:sz="4" w:space="0" w:color="000000"/>
              <w:right w:val="single" w:sz="4" w:space="0" w:color="000000"/>
            </w:tcBorders>
            <w:shd w:color="auto" w:fill="FFFFFF" w:val="clear"/>
          </w:tcPr>
          <w:p>
            <w:pPr>
              <w:pStyle w:val="Normal"/>
              <w:spacing w:lineRule="auto" w:line="240" w:before="0" w:after="0"/>
              <w:contextualSpacing/>
              <w:rPr>
                <w:rFonts w:ascii="Calibri" w:hAnsi="Calibri" w:cs="Calibri"/>
                <w:b/>
                <w:b/>
                <w:sz w:val="22"/>
              </w:rPr>
            </w:pPr>
            <w:r>
              <w:rPr>
                <w:rFonts w:cs="Calibri" w:ascii="Calibri" w:hAnsi="Calibri"/>
                <w:b/>
                <w:sz w:val="22"/>
              </w:rPr>
              <w:t>Počet zamestnancov zvyšujúcich si kvalifikáciu</w:t>
            </w:r>
          </w:p>
        </w:tc>
        <w:tc>
          <w:tcPr>
            <w:tcW w:w="135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w:t>
            </w:r>
          </w:p>
        </w:tc>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w:t>
            </w:r>
          </w:p>
        </w:tc>
        <w:tc>
          <w:tcPr>
            <w:tcW w:w="113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0</w:t>
            </w:r>
          </w:p>
        </w:tc>
        <w:tc>
          <w:tcPr>
            <w:tcW w:w="125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rPr>
            </w:pPr>
            <w:r>
              <w:rPr>
                <w:rFonts w:cs="Calibri" w:ascii="Calibri" w:hAnsi="Calibri"/>
                <w:sz w:val="22"/>
              </w:rPr>
              <w:t>2</w:t>
            </w:r>
          </w:p>
        </w:tc>
      </w:tr>
    </w:tbl>
    <w:p>
      <w:pPr>
        <w:pStyle w:val="Normal"/>
        <w:spacing w:lineRule="atLeast" w:line="22" w:before="0" w:after="200"/>
        <w:contextualSpacing/>
        <w:rPr>
          <w:sz w:val="22"/>
        </w:rPr>
      </w:pPr>
      <w:r>
        <w:rPr>
          <w:sz w:val="22"/>
        </w:rPr>
        <w:t>Tabuľka 3 Personálna štruktúra k 30.11.2020</w:t>
      </w:r>
    </w:p>
    <w:p>
      <w:pPr>
        <w:pStyle w:val="Nadpis21"/>
        <w:ind w:left="720" w:hanging="11"/>
        <w:rPr/>
      </w:pPr>
      <w:bookmarkStart w:id="7" w:name="_Toc71021256"/>
      <w:r>
        <w:rPr/>
        <w:t>2.3. Fyzické prostredie – popis súčasných objektov</w:t>
      </w:r>
      <w:bookmarkEnd w:id="7"/>
    </w:p>
    <w:p>
      <w:pPr>
        <w:pStyle w:val="Normal"/>
        <w:spacing w:before="0" w:after="0"/>
        <w:contextualSpacing/>
        <w:jc w:val="both"/>
        <w:rPr>
          <w:sz w:val="22"/>
          <w:szCs w:val="22"/>
        </w:rPr>
      </w:pPr>
      <w:r>
        <w:rPr>
          <w:sz w:val="22"/>
          <w:szCs w:val="22"/>
        </w:rPr>
        <w:t xml:space="preserve">DSS Ladomerská Vieska v súčasnosti spravuje 4 budovy v obci Ladomerská Vieska.  Vo všetkých 4 budovách sú ubytovaní PSS ale 3 z nich majú zároveň aj iné využitie. </w:t>
      </w:r>
    </w:p>
    <w:p>
      <w:pPr>
        <w:pStyle w:val="Normal"/>
        <w:spacing w:before="0" w:after="0"/>
        <w:contextualSpacing/>
        <w:jc w:val="both"/>
        <w:rPr>
          <w:sz w:val="22"/>
          <w:szCs w:val="22"/>
        </w:rPr>
      </w:pPr>
      <w:r>
        <w:rPr>
          <w:sz w:val="22"/>
          <w:szCs w:val="22"/>
        </w:rPr>
      </w:r>
    </w:p>
    <w:p>
      <w:pPr>
        <w:pStyle w:val="Normal"/>
        <w:spacing w:before="0" w:after="0"/>
        <w:contextualSpacing/>
        <w:jc w:val="both"/>
        <w:rPr>
          <w:b/>
          <w:b/>
          <w:sz w:val="22"/>
          <w:szCs w:val="22"/>
        </w:rPr>
      </w:pPr>
      <w:r>
        <w:rPr>
          <w:b/>
          <w:sz w:val="22"/>
          <w:szCs w:val="22"/>
        </w:rPr>
        <w:t>Budova číslo 1  :</w:t>
      </w:r>
    </w:p>
    <w:p>
      <w:pPr>
        <w:pStyle w:val="Normal"/>
        <w:numPr>
          <w:ilvl w:val="0"/>
          <w:numId w:val="23"/>
        </w:numPr>
        <w:spacing w:before="0" w:after="0"/>
        <w:contextualSpacing/>
        <w:jc w:val="both"/>
        <w:rPr>
          <w:sz w:val="22"/>
          <w:szCs w:val="22"/>
        </w:rPr>
      </w:pPr>
      <w:r>
        <w:rPr>
          <w:sz w:val="22"/>
          <w:szCs w:val="22"/>
        </w:rPr>
        <w:t xml:space="preserve">administratívne zázemie, ktoré tvoria 3 kancelárie, kuchynka </w:t>
      </w:r>
    </w:p>
    <w:p>
      <w:pPr>
        <w:pStyle w:val="Normal"/>
        <w:numPr>
          <w:ilvl w:val="0"/>
          <w:numId w:val="23"/>
        </w:numPr>
        <w:spacing w:before="0" w:after="0"/>
        <w:contextualSpacing/>
        <w:jc w:val="both"/>
        <w:rPr>
          <w:sz w:val="22"/>
          <w:szCs w:val="22"/>
        </w:rPr>
      </w:pPr>
      <w:r>
        <w:rPr>
          <w:sz w:val="22"/>
          <w:szCs w:val="22"/>
        </w:rPr>
        <w:t>ošetrovňa</w:t>
      </w:r>
    </w:p>
    <w:p>
      <w:pPr>
        <w:pStyle w:val="Normal"/>
        <w:numPr>
          <w:ilvl w:val="0"/>
          <w:numId w:val="23"/>
        </w:numPr>
        <w:spacing w:before="0" w:after="0"/>
        <w:contextualSpacing/>
        <w:jc w:val="both"/>
        <w:rPr>
          <w:sz w:val="22"/>
          <w:szCs w:val="22"/>
        </w:rPr>
      </w:pPr>
      <w:r>
        <w:rPr>
          <w:sz w:val="22"/>
          <w:szCs w:val="22"/>
        </w:rPr>
        <w:t xml:space="preserve">denný priestor pre zdravotnícky personál. </w:t>
      </w:r>
    </w:p>
    <w:p>
      <w:pPr>
        <w:pStyle w:val="Normal"/>
        <w:spacing w:before="0" w:after="0"/>
        <w:ind w:left="720" w:hanging="0"/>
        <w:contextualSpacing/>
        <w:jc w:val="both"/>
        <w:rPr>
          <w:sz w:val="22"/>
          <w:szCs w:val="22"/>
        </w:rPr>
      </w:pPr>
      <w:r>
        <w:rPr>
          <w:sz w:val="22"/>
          <w:szCs w:val="22"/>
        </w:rPr>
      </w:r>
    </w:p>
    <w:p>
      <w:pPr>
        <w:pStyle w:val="Normal"/>
        <w:spacing w:before="0" w:after="0"/>
        <w:contextualSpacing/>
        <w:jc w:val="both"/>
        <w:rPr>
          <w:sz w:val="22"/>
          <w:szCs w:val="22"/>
        </w:rPr>
      </w:pPr>
      <w:r>
        <w:rPr>
          <w:sz w:val="22"/>
          <w:szCs w:val="22"/>
        </w:rPr>
        <w:t>V tejto budove máme 5 izieb, na jednej izbe sú ubytovaní 3 PSS, na ostatných izbách sú  ubytovaní 4 PSS. Ani jedna izba nespĺňa požadovanú plochu 8 m</w:t>
      </w:r>
      <w:r>
        <w:rPr>
          <w:sz w:val="22"/>
          <w:szCs w:val="22"/>
          <w:vertAlign w:val="superscript"/>
        </w:rPr>
        <w:t>2</w:t>
      </w:r>
      <w:r>
        <w:rPr>
          <w:sz w:val="22"/>
          <w:szCs w:val="22"/>
        </w:rPr>
        <w:t xml:space="preserve"> na jedného ubytovaného. </w:t>
      </w:r>
    </w:p>
    <w:p>
      <w:pPr>
        <w:pStyle w:val="Normal"/>
        <w:spacing w:before="0" w:after="0"/>
        <w:contextualSpacing/>
        <w:jc w:val="both"/>
        <w:rPr>
          <w:sz w:val="22"/>
          <w:szCs w:val="22"/>
        </w:rPr>
      </w:pPr>
      <w:r>
        <w:rPr>
          <w:sz w:val="22"/>
          <w:szCs w:val="22"/>
        </w:rPr>
      </w:r>
    </w:p>
    <w:p>
      <w:pPr>
        <w:pStyle w:val="Normal"/>
        <w:spacing w:before="0" w:after="0"/>
        <w:contextualSpacing/>
        <w:jc w:val="both"/>
        <w:rPr>
          <w:i/>
          <w:i/>
          <w:sz w:val="22"/>
          <w:szCs w:val="22"/>
        </w:rPr>
      </w:pPr>
      <w:r>
        <w:rPr>
          <w:i/>
          <w:sz w:val="22"/>
          <w:szCs w:val="22"/>
        </w:rPr>
        <w:t xml:space="preserve">Administratívna budova s ubytovaním </w:t>
      </w:r>
    </w:p>
    <w:p>
      <w:pPr>
        <w:pStyle w:val="Normal"/>
        <w:spacing w:before="0" w:after="0"/>
        <w:contextualSpacing/>
        <w:jc w:val="both"/>
        <w:rPr>
          <w:sz w:val="22"/>
          <w:szCs w:val="22"/>
        </w:rPr>
      </w:pPr>
      <w:r>
        <w:rPr>
          <w:sz w:val="22"/>
          <w:szCs w:val="22"/>
        </w:rPr>
        <w:t>Budova je chodbového typu, rozdelená na ubytovaciu a administratívnu časť. Budova je v dobrom stavebno technickom stave, po čiastočnej rekonštrukcii fasád – bez kontaktného zatepľovacieho systému, okná plastové, s dvojsklom, interiér po čiastočnej rekonštrukcii. Vnútorné priestory vymaľované, omietka miestami poškodená. Závažný stavebno – technický problém s vlhnutím stien. Objekt je prepojený exteriérom s priestorom bývalej drevárne rekonštruovaným pre potreby kreatívneho centra. Súčasťou objektu sú priestory pre zdravotníkov.</w:t>
      </w:r>
    </w:p>
    <w:p>
      <w:pPr>
        <w:pStyle w:val="Normal"/>
        <w:spacing w:before="60" w:after="0"/>
        <w:jc w:val="both"/>
        <w:rPr>
          <w:sz w:val="22"/>
          <w:szCs w:val="22"/>
        </w:rPr>
      </w:pPr>
      <w:r>
        <w:rPr>
          <w:sz w:val="22"/>
          <w:szCs w:val="22"/>
        </w:rPr>
        <w:t>Hodnotitelia fyzického prostredia uviedli v hodnotiacej  správe, že administratívna budova má dostatočné prirodzené osvetlenie a vetranie oknami, dostatočne účinné vykurovanie, radiátory umiestnené pod okennými otvormi . Vlhnúce steny zhoršujú mikroklímu prostredia.</w:t>
      </w:r>
    </w:p>
    <w:p>
      <w:pPr>
        <w:pStyle w:val="Normal"/>
        <w:spacing w:lineRule="atLeast" w:line="22" w:before="0" w:after="0"/>
        <w:contextualSpacing/>
        <w:jc w:val="both"/>
        <w:rPr>
          <w:rFonts w:ascii="Calibri" w:hAnsi="Calibri" w:cs="Calibri"/>
          <w:sz w:val="22"/>
        </w:rPr>
      </w:pPr>
      <w:r>
        <w:rPr>
          <w:rFonts w:cs="Calibri" w:ascii="Calibri" w:hAnsi="Calibri"/>
          <w:sz w:val="22"/>
        </w:rPr>
      </w:r>
    </w:p>
    <w:p>
      <w:pPr>
        <w:pStyle w:val="Normal"/>
        <w:spacing w:before="0" w:after="0"/>
        <w:contextualSpacing/>
        <w:jc w:val="both"/>
        <w:rPr>
          <w:b/>
          <w:b/>
          <w:sz w:val="22"/>
        </w:rPr>
      </w:pPr>
      <w:r>
        <w:rPr>
          <w:b/>
          <w:sz w:val="22"/>
        </w:rPr>
        <w:t>Budova č. 2  -  kaštieľ</w:t>
      </w:r>
    </w:p>
    <w:p>
      <w:pPr>
        <w:pStyle w:val="Normal"/>
        <w:numPr>
          <w:ilvl w:val="0"/>
          <w:numId w:val="24"/>
        </w:numPr>
        <w:spacing w:before="0" w:after="0"/>
        <w:contextualSpacing/>
        <w:jc w:val="both"/>
        <w:rPr>
          <w:sz w:val="22"/>
        </w:rPr>
      </w:pPr>
      <w:r>
        <w:rPr>
          <w:sz w:val="22"/>
        </w:rPr>
        <w:t>prevádzka kuchyne</w:t>
      </w:r>
    </w:p>
    <w:p>
      <w:pPr>
        <w:pStyle w:val="Normal"/>
        <w:numPr>
          <w:ilvl w:val="0"/>
          <w:numId w:val="24"/>
        </w:numPr>
        <w:spacing w:before="0" w:after="0"/>
        <w:contextualSpacing/>
        <w:jc w:val="both"/>
        <w:rPr>
          <w:sz w:val="22"/>
        </w:rPr>
      </w:pPr>
      <w:r>
        <w:rPr>
          <w:sz w:val="22"/>
        </w:rPr>
        <w:t>jedáleň pre zamestnancov</w:t>
      </w:r>
    </w:p>
    <w:p>
      <w:pPr>
        <w:pStyle w:val="Normal"/>
        <w:numPr>
          <w:ilvl w:val="0"/>
          <w:numId w:val="24"/>
        </w:numPr>
        <w:spacing w:before="0" w:after="0"/>
        <w:contextualSpacing/>
        <w:jc w:val="both"/>
        <w:rPr>
          <w:sz w:val="22"/>
        </w:rPr>
      </w:pPr>
      <w:r>
        <w:rPr>
          <w:sz w:val="22"/>
        </w:rPr>
        <w:t>spoločenská miestnosť pre PSS</w:t>
      </w:r>
    </w:p>
    <w:p>
      <w:pPr>
        <w:pStyle w:val="Normal"/>
        <w:spacing w:before="0" w:after="0"/>
        <w:ind w:left="720" w:hanging="0"/>
        <w:contextualSpacing/>
        <w:jc w:val="both"/>
        <w:rPr>
          <w:sz w:val="22"/>
        </w:rPr>
      </w:pPr>
      <w:r>
        <w:rPr>
          <w:sz w:val="22"/>
        </w:rPr>
      </w:r>
    </w:p>
    <w:p>
      <w:pPr>
        <w:pStyle w:val="Normal"/>
        <w:spacing w:before="0" w:after="0"/>
        <w:contextualSpacing/>
        <w:jc w:val="both"/>
        <w:rPr>
          <w:sz w:val="22"/>
        </w:rPr>
      </w:pPr>
      <w:r>
        <w:rPr>
          <w:sz w:val="22"/>
        </w:rPr>
        <w:t>Na  poschodí  sú ubytovaní PSS v 5 izbách, v jednej izbe je ubytovaných 5 PSS, v ostatných 4, 3 a 2 PSS. Izby sú rozlohou rozdielne. Iba 2  izby spĺňajú požadovaných 8 m</w:t>
      </w:r>
      <w:r>
        <w:rPr>
          <w:sz w:val="22"/>
          <w:vertAlign w:val="superscript"/>
        </w:rPr>
        <w:t>2</w:t>
      </w:r>
      <w:r>
        <w:rPr>
          <w:sz w:val="22"/>
        </w:rPr>
        <w:t xml:space="preserve"> na jedného ubytovaného. </w:t>
      </w:r>
    </w:p>
    <w:p>
      <w:pPr>
        <w:pStyle w:val="Normal"/>
        <w:spacing w:before="60" w:after="0"/>
        <w:jc w:val="both"/>
        <w:rPr>
          <w:i/>
          <w:i/>
          <w:sz w:val="22"/>
          <w:szCs w:val="22"/>
        </w:rPr>
      </w:pPr>
      <w:r>
        <w:rPr>
          <w:i/>
          <w:sz w:val="22"/>
          <w:szCs w:val="22"/>
        </w:rPr>
        <w:t xml:space="preserve">Ubytovací objekt „Kaštieľ“ Ladomerská Vieska 84 </w:t>
      </w:r>
    </w:p>
    <w:p>
      <w:pPr>
        <w:pStyle w:val="Normal"/>
        <w:spacing w:before="60" w:after="0"/>
        <w:jc w:val="both"/>
        <w:rPr>
          <w:sz w:val="22"/>
          <w:szCs w:val="22"/>
        </w:rPr>
      </w:pPr>
      <w:r>
        <w:rPr>
          <w:sz w:val="22"/>
          <w:szCs w:val="22"/>
        </w:rPr>
        <w:t>Kaštieľ z pol. 17. storočia v renesančnom slohu,  upravený koncom 19. storočia v neobarokovom slohu. Budova je čiastočne stavebno – technicky upravená pre potreby ubytovania klientov na druhom nadzemnom podlaží. Objekt je dvojpodlažný podpivničený, fasáda je pôvodná, okná drevené so sieťkami proti hmyzu, bez kontaktného zatepľovacieho systému, interiér po čiastočnej výmene podlahových krytín. Stavebno-technický stav  zakriveného schodiska je nevyhovujúci. Plechová strecha čiastočne zateká v obytných miestnostiach. V prízemí objektu sa nachádza jedáleň s kuchyňou a zázemím, spoločenská miestnosť.</w:t>
      </w:r>
    </w:p>
    <w:p>
      <w:pPr>
        <w:pStyle w:val="Normal"/>
        <w:spacing w:before="60" w:after="0"/>
        <w:jc w:val="both"/>
        <w:rPr>
          <w:sz w:val="22"/>
          <w:szCs w:val="22"/>
        </w:rPr>
      </w:pPr>
      <w:r>
        <w:rPr>
          <w:sz w:val="22"/>
          <w:szCs w:val="22"/>
        </w:rPr>
        <w:t>Hodnotitelia fyzického prostredia uviedli v hodnotiacej  správe, že v kaštieli je dostatočné prirodzené osvetlenie a vetranie oknami, dostatočne účinné vykurovanie, radiátory umiestnené pod okennými otvormi . Vlhnúci strop v obytných miestnostiach znižuje kvalitu bývania.</w:t>
      </w:r>
    </w:p>
    <w:p>
      <w:pPr>
        <w:pStyle w:val="Normal"/>
        <w:spacing w:before="0" w:after="0"/>
        <w:contextualSpacing/>
        <w:jc w:val="both"/>
        <w:rPr>
          <w:sz w:val="22"/>
        </w:rPr>
      </w:pPr>
      <w:r>
        <w:rPr>
          <w:sz w:val="22"/>
        </w:rPr>
      </w:r>
    </w:p>
    <w:p>
      <w:pPr>
        <w:pStyle w:val="Normal"/>
        <w:spacing w:before="0" w:after="0"/>
        <w:contextualSpacing/>
        <w:jc w:val="both"/>
        <w:rPr>
          <w:b/>
          <w:b/>
          <w:sz w:val="22"/>
        </w:rPr>
      </w:pPr>
      <w:r>
        <w:rPr>
          <w:b/>
          <w:sz w:val="22"/>
        </w:rPr>
        <w:t>Budova č. 3 - Dankov dom:</w:t>
      </w:r>
    </w:p>
    <w:p>
      <w:pPr>
        <w:pStyle w:val="Normal"/>
        <w:numPr>
          <w:ilvl w:val="0"/>
          <w:numId w:val="25"/>
        </w:numPr>
        <w:spacing w:before="0" w:after="0"/>
        <w:contextualSpacing/>
        <w:jc w:val="both"/>
        <w:rPr>
          <w:sz w:val="22"/>
        </w:rPr>
      </w:pPr>
      <w:r>
        <w:rPr>
          <w:sz w:val="22"/>
        </w:rPr>
        <w:t>tréningová kuchyňa spolu s jedálňou</w:t>
      </w:r>
    </w:p>
    <w:p>
      <w:pPr>
        <w:pStyle w:val="Normal"/>
        <w:numPr>
          <w:ilvl w:val="0"/>
          <w:numId w:val="25"/>
        </w:numPr>
        <w:spacing w:before="0" w:after="0"/>
        <w:contextualSpacing/>
        <w:jc w:val="both"/>
        <w:rPr>
          <w:sz w:val="22"/>
        </w:rPr>
      </w:pPr>
      <w:r>
        <w:rPr>
          <w:sz w:val="22"/>
        </w:rPr>
        <w:t>5 izieb, kde je ubytovaných 14 PSS</w:t>
      </w:r>
    </w:p>
    <w:p>
      <w:pPr>
        <w:pStyle w:val="Normal"/>
        <w:numPr>
          <w:ilvl w:val="0"/>
          <w:numId w:val="25"/>
        </w:numPr>
        <w:spacing w:before="0" w:after="0"/>
        <w:contextualSpacing/>
        <w:jc w:val="both"/>
        <w:rPr>
          <w:sz w:val="22"/>
        </w:rPr>
      </w:pPr>
      <w:r>
        <w:rPr>
          <w:sz w:val="22"/>
        </w:rPr>
        <w:t>šatňa pre personál</w:t>
      </w:r>
    </w:p>
    <w:p>
      <w:pPr>
        <w:pStyle w:val="Normal"/>
        <w:spacing w:before="0" w:after="0"/>
        <w:ind w:left="720" w:hanging="0"/>
        <w:contextualSpacing/>
        <w:jc w:val="both"/>
        <w:rPr>
          <w:sz w:val="22"/>
        </w:rPr>
      </w:pPr>
      <w:r>
        <w:rPr>
          <w:sz w:val="22"/>
        </w:rPr>
      </w:r>
    </w:p>
    <w:p>
      <w:pPr>
        <w:pStyle w:val="Normal"/>
        <w:spacing w:before="0" w:after="0"/>
        <w:contextualSpacing/>
        <w:jc w:val="both"/>
        <w:rPr>
          <w:sz w:val="22"/>
        </w:rPr>
      </w:pPr>
      <w:r>
        <w:rPr>
          <w:sz w:val="22"/>
        </w:rPr>
        <w:t>Izby spĺňajú požadovanú plochu, ale jedna izba nespĺňa podmienku počtu ubytovaných na izbe, keďže sú tam ubytovaní 4 PSS.  Dve izby sú priechodné.</w:t>
      </w:r>
    </w:p>
    <w:p>
      <w:pPr>
        <w:pStyle w:val="Normal"/>
        <w:spacing w:before="0" w:after="0"/>
        <w:contextualSpacing/>
        <w:jc w:val="both"/>
        <w:rPr>
          <w:sz w:val="22"/>
        </w:rPr>
      </w:pPr>
      <w:r>
        <w:rPr>
          <w:sz w:val="22"/>
        </w:rPr>
      </w:r>
    </w:p>
    <w:p>
      <w:pPr>
        <w:pStyle w:val="Normal"/>
        <w:spacing w:before="60" w:after="0"/>
        <w:jc w:val="both"/>
        <w:rPr>
          <w:i/>
          <w:i/>
          <w:sz w:val="22"/>
          <w:szCs w:val="22"/>
        </w:rPr>
      </w:pPr>
      <w:r>
        <w:rPr>
          <w:i/>
          <w:sz w:val="22"/>
          <w:szCs w:val="22"/>
        </w:rPr>
        <w:t xml:space="preserve">Ubytovací objekt „Dankov dom“ Ladomerská Vieska 84  </w:t>
      </w:r>
    </w:p>
    <w:p>
      <w:pPr>
        <w:pStyle w:val="Normal"/>
        <w:spacing w:before="60" w:after="0"/>
        <w:jc w:val="both"/>
        <w:rPr>
          <w:sz w:val="22"/>
          <w:szCs w:val="22"/>
        </w:rPr>
      </w:pPr>
      <w:r>
        <w:rPr>
          <w:sz w:val="22"/>
          <w:szCs w:val="22"/>
        </w:rPr>
        <w:t>Budova je prestavaná z pôvodného objektu rodinného domu gánkového typu, je v čiastočne vyhovujúcom stavebno technickom stave, s trhlinami na fasádach – pôvodná fasáda je čiastočne zrekonštruovaná, okná plastové dvojsklo,  interiér po čiastočnej rekonštrukcii.</w:t>
      </w:r>
    </w:p>
    <w:p>
      <w:pPr>
        <w:pStyle w:val="Normal"/>
        <w:spacing w:before="0" w:after="0"/>
        <w:contextualSpacing/>
        <w:jc w:val="both"/>
        <w:rPr>
          <w:sz w:val="22"/>
          <w:szCs w:val="22"/>
        </w:rPr>
      </w:pPr>
      <w:r>
        <w:rPr>
          <w:sz w:val="22"/>
          <w:szCs w:val="22"/>
        </w:rPr>
        <w:t xml:space="preserve">Hodnotitelia fyzického prostredia uviedli v hodnotiacej  správe, že v objekte je dostatočné priame prirodzené osvetlenie a vetranie nie je vo všetkých obytných miestnostiach, vzhľadom na vetranie cez zasklenný priestor gánku.  Vykurovanie je dostatočné, zabezpečené radiátormi.  </w:t>
      </w:r>
    </w:p>
    <w:p>
      <w:pPr>
        <w:pStyle w:val="Normal"/>
        <w:spacing w:before="0" w:after="0"/>
        <w:contextualSpacing/>
        <w:jc w:val="both"/>
        <w:rPr/>
      </w:pPr>
      <w:r>
        <w:rPr/>
      </w:r>
    </w:p>
    <w:p>
      <w:pPr>
        <w:pStyle w:val="Normal"/>
        <w:spacing w:before="0" w:after="0"/>
        <w:contextualSpacing/>
        <w:jc w:val="both"/>
        <w:rPr>
          <w:sz w:val="22"/>
        </w:rPr>
      </w:pPr>
      <w:r>
        <w:rPr>
          <w:b/>
          <w:sz w:val="22"/>
        </w:rPr>
        <w:t>Budove č. 4</w:t>
      </w:r>
      <w:r>
        <w:rPr>
          <w:sz w:val="22"/>
        </w:rPr>
        <w:t>:</w:t>
      </w:r>
    </w:p>
    <w:p>
      <w:pPr>
        <w:pStyle w:val="Normal"/>
        <w:numPr>
          <w:ilvl w:val="0"/>
          <w:numId w:val="26"/>
        </w:numPr>
        <w:spacing w:before="0" w:after="0"/>
        <w:contextualSpacing/>
        <w:jc w:val="both"/>
        <w:rPr>
          <w:sz w:val="22"/>
        </w:rPr>
      </w:pPr>
      <w:r>
        <w:rPr>
          <w:sz w:val="22"/>
        </w:rPr>
        <w:t xml:space="preserve">práčovňa </w:t>
      </w:r>
    </w:p>
    <w:p>
      <w:pPr>
        <w:pStyle w:val="Normal"/>
        <w:numPr>
          <w:ilvl w:val="0"/>
          <w:numId w:val="26"/>
        </w:numPr>
        <w:spacing w:before="0" w:after="0"/>
        <w:contextualSpacing/>
        <w:jc w:val="both"/>
        <w:rPr>
          <w:sz w:val="22"/>
        </w:rPr>
      </w:pPr>
      <w:r>
        <w:rPr>
          <w:sz w:val="22"/>
        </w:rPr>
        <w:t>údržbárske dielne</w:t>
      </w:r>
    </w:p>
    <w:p>
      <w:pPr>
        <w:pStyle w:val="Normal"/>
        <w:numPr>
          <w:ilvl w:val="0"/>
          <w:numId w:val="26"/>
        </w:numPr>
        <w:spacing w:before="0" w:after="0"/>
        <w:contextualSpacing/>
        <w:jc w:val="both"/>
        <w:rPr>
          <w:sz w:val="22"/>
        </w:rPr>
      </w:pPr>
      <w:r>
        <w:rPr>
          <w:sz w:val="22"/>
        </w:rPr>
        <w:t>PC miestnosť</w:t>
      </w:r>
    </w:p>
    <w:p>
      <w:pPr>
        <w:pStyle w:val="Normal"/>
        <w:numPr>
          <w:ilvl w:val="0"/>
          <w:numId w:val="26"/>
        </w:numPr>
        <w:spacing w:before="0" w:after="0"/>
        <w:contextualSpacing/>
        <w:jc w:val="both"/>
        <w:rPr>
          <w:sz w:val="22"/>
        </w:rPr>
      </w:pPr>
      <w:r>
        <w:rPr>
          <w:sz w:val="22"/>
        </w:rPr>
        <w:t xml:space="preserve">izolačka </w:t>
      </w:r>
    </w:p>
    <w:p>
      <w:pPr>
        <w:pStyle w:val="Normal"/>
        <w:spacing w:before="0" w:after="0"/>
        <w:ind w:left="720" w:hanging="0"/>
        <w:contextualSpacing/>
        <w:jc w:val="both"/>
        <w:rPr>
          <w:sz w:val="22"/>
        </w:rPr>
      </w:pPr>
      <w:r>
        <w:rPr>
          <w:sz w:val="22"/>
        </w:rPr>
      </w:r>
    </w:p>
    <w:p>
      <w:pPr>
        <w:pStyle w:val="Normal"/>
        <w:spacing w:before="0" w:after="0"/>
        <w:contextualSpacing/>
        <w:jc w:val="both"/>
        <w:rPr>
          <w:sz w:val="22"/>
          <w:szCs w:val="22"/>
          <w:lang w:eastAsia="sk-SK"/>
        </w:rPr>
      </w:pPr>
      <w:r>
        <w:rPr>
          <w:sz w:val="22"/>
          <w:szCs w:val="22"/>
        </w:rPr>
        <w:t>Budova je v pôvodnom stavebno technickom stave, bez rekonštrukcie fasád, okná pôvodné plastové, fasáda bez kontaktného zatepľovacieho systému. V budove sa nachádzajú technické priestory hospodárskej správy, sviečkáreň, miestnosť s počítačmi, práčovňa so zázemím a hygienické zariadenie.</w:t>
      </w:r>
    </w:p>
    <w:p>
      <w:pPr>
        <w:pStyle w:val="Normal"/>
        <w:spacing w:before="60" w:after="0"/>
        <w:jc w:val="both"/>
        <w:rPr>
          <w:sz w:val="22"/>
          <w:szCs w:val="22"/>
        </w:rPr>
      </w:pPr>
      <w:r>
        <w:rPr>
          <w:sz w:val="22"/>
          <w:szCs w:val="22"/>
        </w:rPr>
        <w:t>Priestory hospodárskej správy sú nedostatočné preslnené a osvetlené malými oknami, klenbovým stropom v práčovni. Priestory majú veľkú vzdušnú vlhkosť.</w:t>
      </w:r>
    </w:p>
    <w:p>
      <w:pPr>
        <w:pStyle w:val="Normal"/>
        <w:spacing w:before="0" w:after="0"/>
        <w:contextualSpacing/>
        <w:jc w:val="both"/>
        <w:rPr>
          <w:sz w:val="22"/>
          <w:lang w:eastAsia="sk-SK"/>
        </w:rPr>
      </w:pPr>
      <w:r>
        <w:rPr>
          <w:sz w:val="22"/>
          <w:lang w:eastAsia="sk-SK"/>
        </w:rPr>
      </w:r>
    </w:p>
    <w:p>
      <w:pPr>
        <w:pStyle w:val="Normal"/>
        <w:spacing w:before="0" w:after="0"/>
        <w:contextualSpacing/>
        <w:jc w:val="both"/>
        <w:rPr>
          <w:b/>
          <w:b/>
          <w:sz w:val="22"/>
        </w:rPr>
      </w:pPr>
      <w:r>
        <w:rPr>
          <w:sz w:val="22"/>
          <w:lang w:eastAsia="sk-SK"/>
        </w:rPr>
        <w:t>Všetky objekty sú situované v jednom veľkom areáli, na začiatku obce Ladomerská Vieska, v blízkosti Námestia. V bezprostrednej blízkosti sa nachádza predajňa COOP Jednota a budova Materskej školy. Klienti majú blízko na železničnú stanicu, zastávky autobusov, dokonca v bezprostrednej blízkosti na Námestí je zastávka MHD. Lokalizácia jednotlivých objektov  umožňuje integráciu prijímateľov a vytváranie sociálnych väzieb s ľuďmi v komunite</w:t>
      </w:r>
      <w:r>
        <w:rPr>
          <w:b/>
          <w:sz w:val="22"/>
          <w:lang w:eastAsia="sk-SK"/>
        </w:rPr>
        <w:t xml:space="preserve">. </w:t>
      </w:r>
      <w:r>
        <w:rPr>
          <w:b/>
          <w:sz w:val="22"/>
        </w:rPr>
        <w:t>Ani jedna z budov  nie je bezbariérová. Všetky budovy sú poškodené vlhkosťou, nespĺňajú podmienky štandardov kvality v zmysle Zákona 448/2008 o sociálnych službách, príloha č. 2 .</w:t>
      </w:r>
    </w:p>
    <w:p>
      <w:pPr>
        <w:pStyle w:val="Normal"/>
        <w:spacing w:before="0" w:after="0"/>
        <w:contextualSpacing/>
        <w:jc w:val="both"/>
        <w:rPr>
          <w:b/>
          <w:b/>
          <w:sz w:val="22"/>
        </w:rPr>
      </w:pPr>
      <w:r>
        <w:rPr>
          <w:b/>
          <w:sz w:val="22"/>
        </w:rPr>
      </w:r>
    </w:p>
    <w:p>
      <w:pPr>
        <w:pStyle w:val="Normal"/>
        <w:spacing w:before="0" w:after="0"/>
        <w:contextualSpacing/>
        <w:jc w:val="both"/>
        <w:rPr>
          <w:b/>
          <w:b/>
          <w:sz w:val="22"/>
        </w:rPr>
      </w:pPr>
      <w:r>
        <w:rPr>
          <w:b/>
          <w:sz w:val="22"/>
        </w:rPr>
      </w:r>
    </w:p>
    <w:p>
      <w:pPr>
        <w:pStyle w:val="Normal"/>
        <w:spacing w:lineRule="atLeast" w:line="22" w:before="0" w:after="200"/>
        <w:contextualSpacing/>
        <w:jc w:val="both"/>
        <w:rPr>
          <w:rFonts w:ascii="Calibri" w:hAnsi="Calibri" w:cs="Calibri"/>
          <w:b/>
          <w:b/>
          <w:sz w:val="22"/>
        </w:rPr>
      </w:pPr>
      <w:r>
        <w:rPr>
          <w:rFonts w:cs="Calibri" w:ascii="Calibri" w:hAnsi="Calibri"/>
          <w:b/>
          <w:sz w:val="22"/>
        </w:rPr>
      </w:r>
    </w:p>
    <w:p>
      <w:pPr>
        <w:pStyle w:val="Normal"/>
        <w:spacing w:lineRule="atLeast" w:line="22" w:before="0" w:after="200"/>
        <w:ind w:hanging="142"/>
        <w:contextualSpacing/>
        <w:jc w:val="both"/>
        <w:rPr>
          <w:rFonts w:ascii="Calibri" w:hAnsi="Calibri" w:cs="Calibri"/>
          <w:b/>
          <w:b/>
          <w:sz w:val="22"/>
        </w:rPr>
      </w:pPr>
      <w:r>
        <w:rPr>
          <w:rFonts w:cs="Calibri" w:ascii="Calibri" w:hAnsi="Calibri"/>
          <w:b/>
          <w:sz w:val="22"/>
        </w:rPr>
        <w:t>DSS Ladomerská Vieska súčasné bývanie k 30.11.2020</w:t>
      </w:r>
    </w:p>
    <w:tbl>
      <w:tblPr>
        <w:tblW w:w="9180" w:type="dxa"/>
        <w:jc w:val="left"/>
        <w:tblInd w:w="0" w:type="dxa"/>
        <w:tblCellMar>
          <w:top w:w="0" w:type="dxa"/>
          <w:left w:w="108" w:type="dxa"/>
          <w:bottom w:w="0" w:type="dxa"/>
          <w:right w:w="108" w:type="dxa"/>
        </w:tblCellMar>
        <w:tblLook w:val="04a0"/>
      </w:tblPr>
      <w:tblGrid>
        <w:gridCol w:w="1666"/>
        <w:gridCol w:w="2923"/>
        <w:gridCol w:w="2295"/>
        <w:gridCol w:w="2295"/>
      </w:tblGrid>
      <w:tr>
        <w:trPr>
          <w:trHeight w:val="89" w:hRule="atLeast"/>
        </w:trPr>
        <w:tc>
          <w:tcPr>
            <w:tcW w:w="9179" w:type="dxa"/>
            <w:gridSpan w:val="4"/>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both"/>
              <w:rPr>
                <w:rFonts w:ascii="Calibri" w:hAnsi="Calibri" w:cs="Calibri"/>
                <w:b/>
                <w:b/>
                <w:sz w:val="22"/>
                <w:szCs w:val="22"/>
              </w:rPr>
            </w:pPr>
            <w:r>
              <w:rPr>
                <w:rFonts w:cs="Calibri" w:ascii="Calibri" w:hAnsi="Calibri"/>
                <w:b/>
                <w:sz w:val="22"/>
                <w:szCs w:val="22"/>
              </w:rPr>
              <w:t xml:space="preserve">Budova č. 1 (Hlavná budova) </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Číslo izby</w:t>
            </w:r>
          </w:p>
        </w:tc>
        <w:tc>
          <w:tcPr>
            <w:tcW w:w="2923"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center"/>
              <w:rPr>
                <w:rFonts w:ascii="Calibri" w:hAnsi="Calibri" w:cs="Calibri"/>
                <w:b/>
                <w:b/>
                <w:sz w:val="22"/>
                <w:szCs w:val="22"/>
                <w:vertAlign w:val="superscript"/>
              </w:rPr>
            </w:pPr>
            <w:r>
              <w:rPr>
                <w:rFonts w:cs="Calibri" w:ascii="Calibri" w:hAnsi="Calibri"/>
                <w:b/>
                <w:sz w:val="22"/>
                <w:szCs w:val="22"/>
              </w:rPr>
              <w:t>m</w:t>
            </w:r>
            <w:r>
              <w:rPr>
                <w:rFonts w:cs="Calibri" w:ascii="Calibri" w:hAnsi="Calibri"/>
                <w:b/>
                <w:sz w:val="22"/>
                <w:szCs w:val="22"/>
                <w:vertAlign w:val="superscript"/>
              </w:rPr>
              <w:t>2</w:t>
            </w:r>
          </w:p>
        </w:tc>
        <w:tc>
          <w:tcPr>
            <w:tcW w:w="2295"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center"/>
              <w:rPr>
                <w:rFonts w:ascii="Calibri" w:hAnsi="Calibri" w:cs="Calibri"/>
                <w:b/>
                <w:b/>
                <w:sz w:val="22"/>
                <w:szCs w:val="22"/>
              </w:rPr>
            </w:pPr>
            <w:r>
              <w:rPr>
                <w:rFonts w:cs="Calibri" w:ascii="Calibri" w:hAnsi="Calibri"/>
                <w:b/>
                <w:sz w:val="22"/>
                <w:szCs w:val="22"/>
              </w:rPr>
              <w:t>Počet PSS na izbe</w:t>
            </w:r>
          </w:p>
        </w:tc>
        <w:tc>
          <w:tcPr>
            <w:tcW w:w="2295"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center"/>
              <w:rPr>
                <w:rFonts w:ascii="Calibri" w:hAnsi="Calibri" w:cs="Calibri"/>
                <w:b/>
                <w:b/>
                <w:sz w:val="22"/>
                <w:szCs w:val="22"/>
              </w:rPr>
            </w:pPr>
            <w:r>
              <w:rPr>
                <w:rFonts w:cs="Calibri" w:ascii="Calibri" w:hAnsi="Calibri"/>
                <w:b/>
                <w:sz w:val="22"/>
                <w:szCs w:val="22"/>
              </w:rPr>
              <w:t>m</w:t>
            </w:r>
            <w:r>
              <w:rPr>
                <w:rFonts w:cs="Calibri" w:ascii="Calibri" w:hAnsi="Calibri"/>
                <w:b/>
                <w:sz w:val="22"/>
                <w:szCs w:val="22"/>
                <w:vertAlign w:val="superscript"/>
              </w:rPr>
              <w:t xml:space="preserve">2 </w:t>
            </w:r>
            <w:r>
              <w:rPr>
                <w:rFonts w:cs="Calibri" w:ascii="Calibri" w:hAnsi="Calibri"/>
                <w:b/>
                <w:sz w:val="22"/>
                <w:szCs w:val="22"/>
              </w:rPr>
              <w:t>na 1 PSS</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2</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23,30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4</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5,825</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3</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24,90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4</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6,225</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4</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25,00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4</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6,250</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5</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24,90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4</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6,225</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6</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23,90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3</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7,933</w:t>
            </w:r>
          </w:p>
        </w:tc>
      </w:tr>
      <w:tr>
        <w:trPr>
          <w:trHeight w:val="89" w:hRule="atLeast"/>
        </w:trPr>
        <w:tc>
          <w:tcPr>
            <w:tcW w:w="9179" w:type="dxa"/>
            <w:gridSpan w:val="4"/>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Budova č.2 (Kaštieľ)</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Číslo izby</w:t>
            </w:r>
          </w:p>
        </w:tc>
        <w:tc>
          <w:tcPr>
            <w:tcW w:w="2923"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center"/>
              <w:rPr>
                <w:rFonts w:ascii="Calibri" w:hAnsi="Calibri" w:cs="Calibri"/>
                <w:b/>
                <w:b/>
                <w:sz w:val="22"/>
                <w:szCs w:val="22"/>
                <w:vertAlign w:val="superscript"/>
              </w:rPr>
            </w:pPr>
            <w:r>
              <w:rPr>
                <w:rFonts w:cs="Calibri" w:ascii="Calibri" w:hAnsi="Calibri"/>
                <w:b/>
                <w:sz w:val="22"/>
                <w:szCs w:val="22"/>
              </w:rPr>
              <w:t>m</w:t>
            </w:r>
            <w:r>
              <w:rPr>
                <w:rFonts w:cs="Calibri" w:ascii="Calibri" w:hAnsi="Calibri"/>
                <w:b/>
                <w:sz w:val="22"/>
                <w:szCs w:val="22"/>
                <w:vertAlign w:val="superscript"/>
              </w:rPr>
              <w:t>2</w:t>
            </w:r>
          </w:p>
        </w:tc>
        <w:tc>
          <w:tcPr>
            <w:tcW w:w="2295"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center"/>
              <w:rPr>
                <w:rFonts w:ascii="Calibri" w:hAnsi="Calibri" w:cs="Calibri"/>
                <w:b/>
                <w:b/>
                <w:sz w:val="22"/>
                <w:szCs w:val="22"/>
              </w:rPr>
            </w:pPr>
            <w:r>
              <w:rPr>
                <w:rFonts w:cs="Calibri" w:ascii="Calibri" w:hAnsi="Calibri"/>
                <w:b/>
                <w:sz w:val="22"/>
                <w:szCs w:val="22"/>
              </w:rPr>
              <w:t>Počet PSS na izbe</w:t>
            </w:r>
          </w:p>
        </w:tc>
        <w:tc>
          <w:tcPr>
            <w:tcW w:w="2295"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center"/>
              <w:rPr>
                <w:rFonts w:ascii="Calibri" w:hAnsi="Calibri" w:cs="Calibri"/>
                <w:b/>
                <w:b/>
                <w:sz w:val="22"/>
                <w:szCs w:val="22"/>
              </w:rPr>
            </w:pPr>
            <w:r>
              <w:rPr>
                <w:rFonts w:cs="Calibri" w:ascii="Calibri" w:hAnsi="Calibri"/>
                <w:b/>
                <w:sz w:val="22"/>
                <w:szCs w:val="22"/>
              </w:rPr>
              <w:t>m</w:t>
            </w:r>
            <w:r>
              <w:rPr>
                <w:rFonts w:cs="Calibri" w:ascii="Calibri" w:hAnsi="Calibri"/>
                <w:b/>
                <w:sz w:val="22"/>
                <w:szCs w:val="22"/>
                <w:vertAlign w:val="superscript"/>
              </w:rPr>
              <w:t xml:space="preserve">2 </w:t>
            </w:r>
            <w:r>
              <w:rPr>
                <w:rFonts w:cs="Calibri" w:ascii="Calibri" w:hAnsi="Calibri"/>
                <w:b/>
                <w:sz w:val="22"/>
                <w:szCs w:val="22"/>
              </w:rPr>
              <w:t>na 1 PSS</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7</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26,00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3</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8,667</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8</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38,50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4</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9,625</w:t>
            </w:r>
          </w:p>
        </w:tc>
      </w:tr>
      <w:tr>
        <w:trPr>
          <w:trHeight w:val="89"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9</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28,60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4</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7,150</w:t>
            </w:r>
          </w:p>
        </w:tc>
      </w:tr>
      <w:tr>
        <w:trPr>
          <w:trHeight w:val="290"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10</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8,00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1</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8,000</w:t>
            </w:r>
          </w:p>
        </w:tc>
      </w:tr>
      <w:tr>
        <w:trPr>
          <w:trHeight w:val="290"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11</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18,50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3</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6,167</w:t>
            </w:r>
          </w:p>
        </w:tc>
      </w:tr>
      <w:tr>
        <w:trPr>
          <w:trHeight w:val="290"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12</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16,60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8,300</w:t>
            </w:r>
          </w:p>
        </w:tc>
      </w:tr>
      <w:tr>
        <w:trPr>
          <w:trHeight w:val="290" w:hRule="atLeast"/>
        </w:trPr>
        <w:tc>
          <w:tcPr>
            <w:tcW w:w="9179" w:type="dxa"/>
            <w:gridSpan w:val="4"/>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Budova č. 3 (Dankov dom)</w:t>
            </w:r>
          </w:p>
        </w:tc>
      </w:tr>
      <w:tr>
        <w:trPr>
          <w:trHeight w:val="290" w:hRule="atLeast"/>
        </w:trPr>
        <w:tc>
          <w:tcPr>
            <w:tcW w:w="1666"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Číslo izby</w:t>
            </w:r>
          </w:p>
        </w:tc>
        <w:tc>
          <w:tcPr>
            <w:tcW w:w="2923"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center"/>
              <w:rPr>
                <w:rFonts w:ascii="Calibri" w:hAnsi="Calibri" w:cs="Calibri"/>
                <w:b/>
                <w:b/>
                <w:sz w:val="22"/>
                <w:szCs w:val="22"/>
                <w:vertAlign w:val="superscript"/>
              </w:rPr>
            </w:pPr>
            <w:r>
              <w:rPr>
                <w:rFonts w:cs="Calibri" w:ascii="Calibri" w:hAnsi="Calibri"/>
                <w:b/>
                <w:sz w:val="22"/>
                <w:szCs w:val="22"/>
              </w:rPr>
              <w:t>m</w:t>
            </w:r>
            <w:r>
              <w:rPr>
                <w:rFonts w:cs="Calibri" w:ascii="Calibri" w:hAnsi="Calibri"/>
                <w:b/>
                <w:sz w:val="22"/>
                <w:szCs w:val="22"/>
                <w:vertAlign w:val="superscript"/>
              </w:rPr>
              <w:t>2</w:t>
            </w:r>
          </w:p>
        </w:tc>
        <w:tc>
          <w:tcPr>
            <w:tcW w:w="2295"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center"/>
              <w:rPr>
                <w:rFonts w:ascii="Calibri" w:hAnsi="Calibri" w:cs="Calibri"/>
                <w:b/>
                <w:b/>
                <w:sz w:val="22"/>
                <w:szCs w:val="22"/>
              </w:rPr>
            </w:pPr>
            <w:r>
              <w:rPr>
                <w:rFonts w:cs="Calibri" w:ascii="Calibri" w:hAnsi="Calibri"/>
                <w:b/>
                <w:sz w:val="22"/>
                <w:szCs w:val="22"/>
              </w:rPr>
              <w:t>Počet PSS na izbe</w:t>
            </w:r>
          </w:p>
        </w:tc>
        <w:tc>
          <w:tcPr>
            <w:tcW w:w="2295" w:type="dxa"/>
            <w:tcBorders>
              <w:top w:val="single" w:sz="4" w:space="0" w:color="000000"/>
              <w:left w:val="single" w:sz="4" w:space="0" w:color="000000"/>
              <w:bottom w:val="single" w:sz="4" w:space="0" w:color="000000"/>
              <w:right w:val="single" w:sz="4" w:space="0" w:color="000000"/>
            </w:tcBorders>
            <w:shd w:color="auto" w:fill="71DAFF" w:val="clear"/>
          </w:tcPr>
          <w:p>
            <w:pPr>
              <w:pStyle w:val="Normal"/>
              <w:spacing w:lineRule="auto" w:line="240" w:before="0" w:after="0"/>
              <w:contextualSpacing/>
              <w:jc w:val="center"/>
              <w:rPr>
                <w:rFonts w:ascii="Calibri" w:hAnsi="Calibri" w:cs="Calibri"/>
                <w:b/>
                <w:b/>
                <w:sz w:val="22"/>
                <w:szCs w:val="22"/>
              </w:rPr>
            </w:pPr>
            <w:r>
              <w:rPr>
                <w:rFonts w:cs="Calibri" w:ascii="Calibri" w:hAnsi="Calibri"/>
                <w:b/>
                <w:sz w:val="22"/>
                <w:szCs w:val="22"/>
              </w:rPr>
              <w:t>m</w:t>
            </w:r>
            <w:r>
              <w:rPr>
                <w:rFonts w:cs="Calibri" w:ascii="Calibri" w:hAnsi="Calibri"/>
                <w:b/>
                <w:sz w:val="22"/>
                <w:szCs w:val="22"/>
                <w:vertAlign w:val="superscript"/>
              </w:rPr>
              <w:t xml:space="preserve">2 </w:t>
            </w:r>
            <w:r>
              <w:rPr>
                <w:rFonts w:cs="Calibri" w:ascii="Calibri" w:hAnsi="Calibri"/>
                <w:b/>
                <w:sz w:val="22"/>
                <w:szCs w:val="22"/>
              </w:rPr>
              <w:t>na 1 PSS</w:t>
            </w:r>
          </w:p>
        </w:tc>
      </w:tr>
      <w:tr>
        <w:trPr>
          <w:trHeight w:val="290"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b/>
                <w:b/>
                <w:sz w:val="22"/>
                <w:szCs w:val="22"/>
              </w:rPr>
            </w:pPr>
            <w:r>
              <w:rPr>
                <w:rFonts w:cs="Calibri" w:ascii="Calibri" w:hAnsi="Calibri"/>
                <w:b/>
                <w:sz w:val="22"/>
                <w:szCs w:val="22"/>
              </w:rPr>
              <w:t>14 - priechodná</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24,70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12,350</w:t>
            </w:r>
          </w:p>
        </w:tc>
      </w:tr>
      <w:tr>
        <w:trPr>
          <w:trHeight w:val="290"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b/>
                <w:b/>
                <w:sz w:val="22"/>
                <w:szCs w:val="22"/>
              </w:rPr>
            </w:pPr>
            <w:r>
              <w:rPr>
                <w:rFonts w:cs="Calibri" w:ascii="Calibri" w:hAnsi="Calibri"/>
                <w:b/>
                <w:sz w:val="22"/>
                <w:szCs w:val="22"/>
              </w:rPr>
              <w:t>15 - priechodná</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16,90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8,450</w:t>
            </w:r>
          </w:p>
        </w:tc>
      </w:tr>
      <w:tr>
        <w:trPr>
          <w:trHeight w:val="283"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16</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23,40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3</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7,800</w:t>
            </w:r>
          </w:p>
        </w:tc>
      </w:tr>
      <w:tr>
        <w:trPr>
          <w:trHeight w:val="290"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17</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28,00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3</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9,333</w:t>
            </w:r>
          </w:p>
        </w:tc>
      </w:tr>
      <w:tr>
        <w:trPr>
          <w:trHeight w:val="290" w:hRule="atLeast"/>
        </w:trPr>
        <w:tc>
          <w:tcPr>
            <w:tcW w:w="166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rPr>
                <w:rFonts w:ascii="Calibri" w:hAnsi="Calibri" w:cs="Calibri"/>
                <w:b/>
                <w:b/>
                <w:sz w:val="22"/>
                <w:szCs w:val="22"/>
              </w:rPr>
            </w:pPr>
            <w:r>
              <w:rPr>
                <w:rFonts w:cs="Calibri" w:ascii="Calibri" w:hAnsi="Calibri"/>
                <w:b/>
                <w:sz w:val="22"/>
                <w:szCs w:val="22"/>
              </w:rPr>
              <w:t>18</w:t>
            </w:r>
          </w:p>
        </w:tc>
        <w:tc>
          <w:tcPr>
            <w:tcW w:w="292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35,60</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4</w:t>
            </w:r>
          </w:p>
        </w:tc>
        <w:tc>
          <w:tcPr>
            <w:tcW w:w="229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40" w:before="0" w:after="0"/>
              <w:contextualSpacing/>
              <w:jc w:val="center"/>
              <w:rPr>
                <w:rFonts w:ascii="Calibri" w:hAnsi="Calibri" w:cs="Calibri"/>
                <w:sz w:val="22"/>
                <w:szCs w:val="22"/>
              </w:rPr>
            </w:pPr>
            <w:r>
              <w:rPr>
                <w:rFonts w:cs="Calibri" w:ascii="Calibri" w:hAnsi="Calibri"/>
                <w:sz w:val="22"/>
                <w:szCs w:val="22"/>
              </w:rPr>
              <w:t>8,9000</w:t>
            </w:r>
          </w:p>
        </w:tc>
      </w:tr>
    </w:tbl>
    <w:p>
      <w:pPr>
        <w:pStyle w:val="Normal"/>
        <w:spacing w:before="0" w:after="0"/>
        <w:contextualSpacing/>
        <w:jc w:val="both"/>
        <w:rPr>
          <w:sz w:val="22"/>
        </w:rPr>
      </w:pPr>
      <w:r>
        <w:rPr>
          <w:sz w:val="22"/>
        </w:rPr>
        <w:t xml:space="preserve">Tabuľka 4 Počet a rozloha izieb DSS Ladomerská Vieska </w:t>
      </w:r>
    </w:p>
    <w:p>
      <w:pPr>
        <w:pStyle w:val="Normal"/>
        <w:spacing w:before="0" w:after="0"/>
        <w:contextualSpacing/>
        <w:jc w:val="both"/>
        <w:rPr>
          <w:b/>
          <w:b/>
          <w:sz w:val="22"/>
        </w:rPr>
      </w:pPr>
      <w:r>
        <w:rPr>
          <w:b/>
          <w:sz w:val="22"/>
        </w:rPr>
      </w:r>
    </w:p>
    <w:p>
      <w:pPr>
        <w:pStyle w:val="Normal"/>
        <w:spacing w:before="0" w:after="0"/>
        <w:contextualSpacing/>
        <w:jc w:val="both"/>
        <w:rPr>
          <w:sz w:val="22"/>
        </w:rPr>
      </w:pPr>
      <w:r>
        <w:rPr>
          <w:sz w:val="22"/>
        </w:rPr>
        <w:t xml:space="preserve">Podrobnejší popis budov a ich stavu je uvedený  v prílohe č. 4. </w:t>
      </w:r>
    </w:p>
    <w:p>
      <w:pPr>
        <w:pStyle w:val="Nadpis21"/>
        <w:spacing w:before="240" w:after="0"/>
        <w:ind w:left="1070" w:hanging="360"/>
        <w:contextualSpacing/>
        <w:rPr/>
      </w:pPr>
      <w:bookmarkStart w:id="8" w:name="_Toc71021257"/>
      <w:r>
        <w:rPr/>
        <w:t>2.4. Strategické dokumenty zariadenia a zriaďovateľa</w:t>
      </w:r>
      <w:bookmarkEnd w:id="8"/>
    </w:p>
    <w:p>
      <w:pPr>
        <w:pStyle w:val="Odstavecseseznamem1"/>
        <w:spacing w:before="0" w:after="0"/>
        <w:ind w:left="0" w:hanging="0"/>
        <w:contextualSpacing/>
        <w:jc w:val="both"/>
        <w:rPr>
          <w:sz w:val="22"/>
        </w:rPr>
      </w:pPr>
      <w:r>
        <w:rPr>
          <w:sz w:val="22"/>
        </w:rPr>
      </w:r>
    </w:p>
    <w:p>
      <w:pPr>
        <w:pStyle w:val="Odstavecseseznamem1"/>
        <w:jc w:val="both"/>
        <w:rPr>
          <w:sz w:val="22"/>
        </w:rPr>
      </w:pPr>
      <w:r>
        <w:rPr>
          <w:sz w:val="22"/>
        </w:rPr>
        <w:t>Základnými strategickými dokumentmi na úrovni zriaďovateľa Banskobystrického samosprávneho kraja sú:</w:t>
      </w:r>
    </w:p>
    <w:p>
      <w:pPr>
        <w:pStyle w:val="Odstavecseseznamem1"/>
        <w:spacing w:before="0" w:after="0"/>
        <w:ind w:left="0" w:hanging="0"/>
        <w:contextualSpacing/>
        <w:jc w:val="both"/>
        <w:rPr>
          <w:sz w:val="22"/>
        </w:rPr>
      </w:pPr>
      <w:r>
        <w:rPr>
          <w:sz w:val="22"/>
        </w:rPr>
      </w:r>
    </w:p>
    <w:p>
      <w:pPr>
        <w:pStyle w:val="ListParagraph"/>
        <w:numPr>
          <w:ilvl w:val="1"/>
          <w:numId w:val="27"/>
        </w:numPr>
        <w:spacing w:before="0" w:after="0"/>
        <w:contextualSpacing/>
        <w:jc w:val="both"/>
        <w:rPr>
          <w:rFonts w:ascii="Times New Roman" w:hAnsi="Times New Roman"/>
        </w:rPr>
      </w:pPr>
      <w:r>
        <w:rPr>
          <w:rFonts w:ascii="Times New Roman" w:hAnsi="Times New Roman"/>
        </w:rPr>
        <w:t>Zákon č. 448/2008 Z. z. (Zákon o sociálnych službách a o zmene a doplnení zákona č. 455/1991 Zb. o živnostenskom podnikaní (živnostenský zákon) v znení neskorších predpisov),</w:t>
      </w:r>
    </w:p>
    <w:p>
      <w:pPr>
        <w:pStyle w:val="ListParagraph"/>
        <w:numPr>
          <w:ilvl w:val="1"/>
          <w:numId w:val="27"/>
        </w:numPr>
        <w:spacing w:before="0" w:after="0"/>
        <w:contextualSpacing/>
        <w:jc w:val="both"/>
        <w:rPr>
          <w:rFonts w:ascii="Times New Roman" w:hAnsi="Times New Roman"/>
        </w:rPr>
      </w:pPr>
      <w:r>
        <w:rPr>
          <w:rFonts w:ascii="Times New Roman" w:hAnsi="Times New Roman"/>
        </w:rPr>
        <w:t>Všeobecne záväzné nariadenie BBSK 41/2019,</w:t>
      </w:r>
    </w:p>
    <w:p>
      <w:pPr>
        <w:pStyle w:val="ListParagraph"/>
        <w:numPr>
          <w:ilvl w:val="1"/>
          <w:numId w:val="27"/>
        </w:numPr>
        <w:spacing w:before="0" w:after="0"/>
        <w:contextualSpacing/>
        <w:jc w:val="both"/>
        <w:rPr>
          <w:rFonts w:ascii="Times New Roman" w:hAnsi="Times New Roman"/>
        </w:rPr>
      </w:pPr>
      <w:r>
        <w:rPr>
          <w:rFonts w:ascii="Times New Roman" w:hAnsi="Times New Roman"/>
        </w:rPr>
        <w:t xml:space="preserve">Smernica č.005/2018/OSSZ Postup prijímania a predvolávania občanov do ZSS, </w:t>
      </w:r>
    </w:p>
    <w:p>
      <w:pPr>
        <w:pStyle w:val="ListParagraph"/>
        <w:numPr>
          <w:ilvl w:val="1"/>
          <w:numId w:val="27"/>
        </w:numPr>
        <w:spacing w:before="0" w:after="0"/>
        <w:contextualSpacing/>
        <w:jc w:val="both"/>
        <w:rPr>
          <w:rFonts w:ascii="Times New Roman" w:hAnsi="Times New Roman"/>
        </w:rPr>
      </w:pPr>
      <w:r>
        <w:rPr>
          <w:b/>
        </w:rPr>
        <w:t>Koncepcia rozvoja sociálnych služieb v Banskobystrickom samosprávnom kraji na roky 2019 – 2025</w:t>
      </w:r>
      <w:r>
        <w:rPr/>
        <w:t>- v rámci ktorej sú definované priority vo vzťahu k občanom so zdravotným postihnutím. Jednou z priorít je aj pokračovanie v začatom transformačnom procese spočívajúcom v odbornej príprave prijímateľov a ich rodín pre prechod prijímateľov už umiestnených v DSS do ZPB a prechod prijímateľov zo ZPB do samostatného života s podporou.</w:t>
      </w:r>
    </w:p>
    <w:p>
      <w:pPr>
        <w:pStyle w:val="ListParagraph"/>
        <w:numPr>
          <w:ilvl w:val="1"/>
          <w:numId w:val="27"/>
        </w:numPr>
        <w:spacing w:before="0" w:after="0"/>
        <w:contextualSpacing/>
        <w:jc w:val="both"/>
        <w:rPr>
          <w:rFonts w:ascii="Times New Roman" w:hAnsi="Times New Roman"/>
        </w:rPr>
      </w:pPr>
      <w:r>
        <w:rPr>
          <w:b/>
        </w:rPr>
        <w:t>Regionálna integrovaná územná stratégia Banskobystrického kraja</w:t>
      </w:r>
      <w:r>
        <w:rPr/>
        <w:t xml:space="preserve"> – kde v prioritnej osi č. 2: „Ľahší prístup k efektívnejším a kvalitnejším verejným službám, je definovaný špecifický cieľ 2.1.1. „Podporiť prechod poskytovania sociálnych služieb a zabezpečenie výkonu opatrení sociálnoprávnej ochrany detí a kurately v zariadení z inštitucionálnej formy na komunitnú a podporiť rozvoj služieb starostlivosti o dieťa do troch rokov na komunitnej úrovni“ Súčasťou tohto dokumentu sú plánované investície na podporu transformácie a deinštitucionalizácie existujúcich veľkokapacitných pobytových zariadení  a nákladovo neefektívnych zariadení najmä vytvorením vhodných priestorových podmienok v súlade so Stratégiou deinštitucionalizácie systému sociálnych služieb a náhradnej starostlivosti v SR a koncepčnými dokumentmi Banskobystrického kraja a plánmi komunitných služieb obcí.</w:t>
      </w:r>
    </w:p>
    <w:p>
      <w:pPr>
        <w:pStyle w:val="ListParagraph"/>
        <w:spacing w:before="0" w:after="0"/>
        <w:ind w:left="360" w:hanging="0"/>
        <w:contextualSpacing/>
        <w:jc w:val="both"/>
        <w:rPr>
          <w:rFonts w:ascii="Times New Roman" w:hAnsi="Times New Roman"/>
        </w:rPr>
      </w:pPr>
      <w:r>
        <w:rPr>
          <w:rFonts w:ascii="Times New Roman" w:hAnsi="Times New Roman"/>
        </w:rPr>
      </w:r>
    </w:p>
    <w:p>
      <w:pPr>
        <w:pStyle w:val="Normal"/>
        <w:rPr/>
      </w:pPr>
      <w:r>
        <w:rPr/>
      </w:r>
    </w:p>
    <w:p>
      <w:pPr>
        <w:pStyle w:val="Normal"/>
        <w:rPr>
          <w:sz w:val="22"/>
          <w:szCs w:val="22"/>
        </w:rPr>
      </w:pPr>
      <w:r>
        <w:rPr>
          <w:sz w:val="22"/>
          <w:szCs w:val="22"/>
        </w:rPr>
        <w:t>Na úrovni zariadenia:</w:t>
      </w:r>
    </w:p>
    <w:p>
      <w:pPr>
        <w:pStyle w:val="ListParagraph"/>
        <w:numPr>
          <w:ilvl w:val="1"/>
          <w:numId w:val="27"/>
        </w:numPr>
        <w:spacing w:before="0" w:after="0"/>
        <w:contextualSpacing/>
        <w:jc w:val="both"/>
        <w:rPr>
          <w:rFonts w:ascii="Times New Roman" w:hAnsi="Times New Roman"/>
        </w:rPr>
      </w:pPr>
      <w:r>
        <w:rPr>
          <w:rFonts w:ascii="Times New Roman" w:hAnsi="Times New Roman"/>
        </w:rPr>
        <w:t>Prevádzkový poriadok ,</w:t>
      </w:r>
    </w:p>
    <w:p>
      <w:pPr>
        <w:pStyle w:val="ListParagraph"/>
        <w:numPr>
          <w:ilvl w:val="1"/>
          <w:numId w:val="27"/>
        </w:numPr>
        <w:spacing w:before="0" w:after="0"/>
        <w:contextualSpacing/>
        <w:jc w:val="both"/>
        <w:rPr>
          <w:rFonts w:ascii="Times New Roman" w:hAnsi="Times New Roman"/>
        </w:rPr>
      </w:pPr>
      <w:r>
        <w:rPr>
          <w:rFonts w:ascii="Times New Roman" w:hAnsi="Times New Roman"/>
        </w:rPr>
        <w:t>Domáci poriadok ,</w:t>
      </w:r>
    </w:p>
    <w:p>
      <w:pPr>
        <w:pStyle w:val="ListParagraph"/>
        <w:numPr>
          <w:ilvl w:val="1"/>
          <w:numId w:val="27"/>
        </w:numPr>
        <w:spacing w:before="0" w:after="0"/>
        <w:contextualSpacing/>
        <w:jc w:val="both"/>
        <w:rPr>
          <w:rFonts w:ascii="Times New Roman" w:hAnsi="Times New Roman"/>
        </w:rPr>
      </w:pPr>
      <w:r>
        <w:rPr>
          <w:rFonts w:ascii="Times New Roman" w:hAnsi="Times New Roman"/>
        </w:rPr>
        <w:t>Interná smernica: Politika kvality,</w:t>
      </w:r>
    </w:p>
    <w:p>
      <w:pPr>
        <w:pStyle w:val="ListParagraph"/>
        <w:numPr>
          <w:ilvl w:val="1"/>
          <w:numId w:val="27"/>
        </w:numPr>
        <w:spacing w:before="0" w:after="0"/>
        <w:contextualSpacing/>
        <w:jc w:val="both"/>
        <w:rPr>
          <w:rFonts w:ascii="Times New Roman" w:hAnsi="Times New Roman"/>
        </w:rPr>
      </w:pPr>
      <w:r>
        <w:rPr>
          <w:rFonts w:ascii="Times New Roman" w:hAnsi="Times New Roman"/>
        </w:rPr>
        <w:t>Interná smernica: Etický kódex zamestnanca,</w:t>
      </w:r>
    </w:p>
    <w:p>
      <w:pPr>
        <w:pStyle w:val="ListParagraph"/>
        <w:numPr>
          <w:ilvl w:val="1"/>
          <w:numId w:val="27"/>
        </w:numPr>
        <w:spacing w:before="0" w:after="0"/>
        <w:contextualSpacing/>
        <w:jc w:val="both"/>
        <w:rPr>
          <w:rFonts w:ascii="Times New Roman" w:hAnsi="Times New Roman"/>
        </w:rPr>
      </w:pPr>
      <w:r>
        <w:rPr>
          <w:rFonts w:ascii="Times New Roman" w:hAnsi="Times New Roman"/>
        </w:rPr>
        <w:t xml:space="preserve">Interná smernica: Pravidlá prijímania darov, </w:t>
      </w:r>
    </w:p>
    <w:p>
      <w:pPr>
        <w:pStyle w:val="ListParagraph"/>
        <w:numPr>
          <w:ilvl w:val="1"/>
          <w:numId w:val="27"/>
        </w:numPr>
        <w:spacing w:before="0" w:after="0"/>
        <w:contextualSpacing/>
        <w:jc w:val="both"/>
        <w:rPr>
          <w:rFonts w:ascii="Times New Roman" w:hAnsi="Times New Roman"/>
        </w:rPr>
      </w:pPr>
      <w:r>
        <w:rPr>
          <w:rFonts w:ascii="Times New Roman" w:hAnsi="Times New Roman"/>
        </w:rPr>
        <w:t xml:space="preserve">Interná smernica upravujúca záväzné postupy pri uplatňovaní zákona č. 343/2015 Z. z. o verejnom obstarávaní a o zmene a doplnení niektorých zákonov v znení zákona č. 438/2015 Z.z., </w:t>
      </w:r>
    </w:p>
    <w:p>
      <w:pPr>
        <w:pStyle w:val="ListParagraph"/>
        <w:numPr>
          <w:ilvl w:val="1"/>
          <w:numId w:val="27"/>
        </w:numPr>
        <w:spacing w:before="0" w:after="0"/>
        <w:contextualSpacing/>
        <w:jc w:val="both"/>
        <w:rPr>
          <w:rFonts w:ascii="Times New Roman" w:hAnsi="Times New Roman"/>
        </w:rPr>
      </w:pPr>
      <w:r>
        <w:rPr>
          <w:rFonts w:ascii="Times New Roman" w:hAnsi="Times New Roman"/>
        </w:rPr>
        <w:t xml:space="preserve">Interná smernica: </w:t>
      </w:r>
      <w:r>
        <w:rPr>
          <w:rFonts w:ascii="Times New Roman" w:hAnsi="Times New Roman"/>
          <w:color w:val="000000"/>
        </w:rPr>
        <w:t>O</w:t>
      </w:r>
      <w:r>
        <w:rPr>
          <w:rFonts w:cs="Arial" w:ascii="Times New Roman" w:hAnsi="Times New Roman"/>
          <w:color w:val="000000"/>
        </w:rPr>
        <w:t> postupe prijímania a predvolávania občanov do DSS</w:t>
      </w:r>
    </w:p>
    <w:p>
      <w:pPr>
        <w:pStyle w:val="ListParagraph"/>
        <w:numPr>
          <w:ilvl w:val="1"/>
          <w:numId w:val="27"/>
        </w:numPr>
        <w:spacing w:before="0" w:after="0"/>
        <w:contextualSpacing/>
        <w:jc w:val="both"/>
        <w:rPr>
          <w:rFonts w:ascii="Times New Roman" w:hAnsi="Times New Roman"/>
        </w:rPr>
      </w:pPr>
      <w:r>
        <w:rPr>
          <w:rFonts w:ascii="Times New Roman" w:hAnsi="Times New Roman"/>
          <w:color w:val="000000"/>
        </w:rPr>
        <w:t xml:space="preserve">Interná smernica: Postup pri tvorbe a aktualizácii individuálneho plánu prijímateľa, </w:t>
      </w:r>
    </w:p>
    <w:p>
      <w:pPr>
        <w:pStyle w:val="ListParagraph"/>
        <w:numPr>
          <w:ilvl w:val="1"/>
          <w:numId w:val="27"/>
        </w:numPr>
        <w:spacing w:before="0" w:after="0"/>
        <w:contextualSpacing/>
        <w:jc w:val="both"/>
        <w:rPr>
          <w:rFonts w:ascii="Times New Roman" w:hAnsi="Times New Roman"/>
          <w:color w:val="000000"/>
        </w:rPr>
      </w:pPr>
      <w:r>
        <w:rPr>
          <w:rFonts w:ascii="Times New Roman" w:hAnsi="Times New Roman"/>
          <w:color w:val="000000"/>
        </w:rPr>
        <w:t>Interná smernica: O</w:t>
      </w:r>
      <w:r>
        <w:rPr>
          <w:rFonts w:cs="Arial" w:ascii="Times New Roman" w:hAnsi="Times New Roman"/>
          <w:color w:val="000000"/>
        </w:rPr>
        <w:t> poskytovaní sociálnych služieb PSS a o platení úhrad</w:t>
      </w:r>
      <w:r>
        <w:rPr>
          <w:rFonts w:ascii="Times New Roman" w:hAnsi="Times New Roman"/>
          <w:color w:val="000000"/>
        </w:rPr>
        <w:t>,</w:t>
      </w:r>
    </w:p>
    <w:p>
      <w:pPr>
        <w:pStyle w:val="ListParagraph"/>
        <w:numPr>
          <w:ilvl w:val="1"/>
          <w:numId w:val="27"/>
        </w:numPr>
        <w:spacing w:before="0" w:after="0"/>
        <w:contextualSpacing/>
        <w:jc w:val="both"/>
        <w:rPr>
          <w:rFonts w:ascii="Times New Roman" w:hAnsi="Times New Roman"/>
        </w:rPr>
      </w:pPr>
      <w:r>
        <w:rPr/>
        <w:t>Interná smernica: Netelesné a telesné obmedzenia prijímateľov sociálnej služby,</w:t>
      </w:r>
    </w:p>
    <w:p>
      <w:pPr>
        <w:pStyle w:val="ListParagraph"/>
        <w:numPr>
          <w:ilvl w:val="1"/>
          <w:numId w:val="27"/>
        </w:numPr>
        <w:spacing w:before="0" w:after="0"/>
        <w:contextualSpacing/>
        <w:jc w:val="both"/>
        <w:rPr/>
      </w:pPr>
      <w:r>
        <w:rPr>
          <w:rFonts w:ascii="Times New Roman" w:hAnsi="Times New Roman"/>
        </w:rPr>
        <w:t>Interná smernica: O</w:t>
      </w:r>
      <w:r>
        <w:rPr>
          <w:rFonts w:cs="Arial" w:ascii="Times New Roman" w:hAnsi="Times New Roman"/>
          <w:color w:val="000000"/>
        </w:rPr>
        <w:t> ochrane a dodržiavaní základných ľudských práv a slobôd</w:t>
      </w:r>
      <w:r>
        <w:rPr>
          <w:rFonts w:ascii="Times New Roman" w:hAnsi="Times New Roman"/>
          <w:color w:val="000000"/>
        </w:rPr>
        <w:t xml:space="preserve"> , </w:t>
      </w:r>
    </w:p>
    <w:p>
      <w:pPr>
        <w:pStyle w:val="ListParagraph"/>
        <w:numPr>
          <w:ilvl w:val="1"/>
          <w:numId w:val="27"/>
        </w:numPr>
        <w:spacing w:before="0" w:after="0"/>
        <w:contextualSpacing/>
        <w:jc w:val="both"/>
        <w:rPr/>
      </w:pPr>
      <w:r>
        <w:rPr/>
        <w:t xml:space="preserve">Interná smernica: </w:t>
      </w:r>
      <w:r>
        <w:rPr>
          <w:rFonts w:cs="Arial" w:ascii="Times New Roman" w:hAnsi="Times New Roman"/>
          <w:color w:val="000000"/>
        </w:rPr>
        <w:t>Riešenie krízových situácií,</w:t>
      </w:r>
    </w:p>
    <w:p>
      <w:pPr>
        <w:pStyle w:val="ListParagraph"/>
        <w:numPr>
          <w:ilvl w:val="1"/>
          <w:numId w:val="27"/>
        </w:numPr>
        <w:spacing w:before="0" w:after="60"/>
        <w:contextualSpacing/>
        <w:jc w:val="both"/>
        <w:rPr/>
      </w:pPr>
      <w:r>
        <w:rPr/>
        <w:t xml:space="preserve">Interná smernica: </w:t>
      </w:r>
      <w:r>
        <w:rPr>
          <w:rFonts w:cs="Arial" w:ascii="Times New Roman" w:hAnsi="Times New Roman"/>
          <w:color w:val="000000"/>
        </w:rPr>
        <w:t>Smernica o vedení  finančných  prostriedkov PSS v DSS L.Vieska</w:t>
      </w:r>
      <w:r>
        <w:rPr>
          <w:rFonts w:ascii="Times New Roman" w:hAnsi="Times New Roman"/>
          <w:color w:val="000000"/>
        </w:rPr>
        <w:t>,</w:t>
      </w:r>
    </w:p>
    <w:p>
      <w:pPr>
        <w:pStyle w:val="ListParagraph"/>
        <w:numPr>
          <w:ilvl w:val="1"/>
          <w:numId w:val="27"/>
        </w:numPr>
        <w:spacing w:before="0" w:after="0"/>
        <w:contextualSpacing/>
        <w:jc w:val="both"/>
        <w:rPr/>
      </w:pPr>
      <w:r>
        <w:rPr>
          <w:rFonts w:ascii="Times New Roman" w:hAnsi="Times New Roman"/>
        </w:rPr>
        <w:t xml:space="preserve">Interná smernica: </w:t>
      </w:r>
      <w:r>
        <w:rPr>
          <w:rFonts w:ascii="Times New Roman" w:hAnsi="Times New Roman"/>
          <w:color w:val="000000"/>
        </w:rPr>
        <w:t>O</w:t>
      </w:r>
      <w:r>
        <w:rPr>
          <w:rFonts w:cs="Arial" w:ascii="Times New Roman" w:hAnsi="Times New Roman"/>
          <w:color w:val="000000"/>
        </w:rPr>
        <w:t> osobných spisoch zamestnancov, pracovno-právna dokumentácia</w:t>
      </w:r>
      <w:r>
        <w:rPr>
          <w:rFonts w:ascii="Times New Roman" w:hAnsi="Times New Roman"/>
          <w:color w:val="000000"/>
        </w:rPr>
        <w:t>.</w:t>
      </w:r>
    </w:p>
    <w:p>
      <w:pPr>
        <w:pStyle w:val="Nadpis21"/>
        <w:spacing w:before="240" w:after="0"/>
        <w:contextualSpacing/>
        <w:rPr/>
      </w:pPr>
      <w:r>
        <w:rPr/>
      </w:r>
    </w:p>
    <w:p>
      <w:pPr>
        <w:pStyle w:val="Nadpis21"/>
        <w:ind w:left="710" w:hanging="0"/>
        <w:rPr/>
      </w:pPr>
      <w:bookmarkStart w:id="9" w:name="_Toc71021258"/>
      <w:r>
        <w:rPr/>
        <w:t>2.5. Náklady DSS Ladomerská Vieska k 30.06.2020 – mzdové a prevádzkové, EON</w:t>
      </w:r>
      <w:bookmarkEnd w:id="9"/>
    </w:p>
    <w:tbl>
      <w:tblPr>
        <w:tblW w:w="9779" w:type="dxa"/>
        <w:jc w:val="center"/>
        <w:tblInd w:w="0" w:type="dxa"/>
        <w:tblCellMar>
          <w:top w:w="0" w:type="dxa"/>
          <w:left w:w="30" w:type="dxa"/>
          <w:bottom w:w="0" w:type="dxa"/>
          <w:right w:w="30" w:type="dxa"/>
        </w:tblCellMar>
        <w:tblLook w:val="0000"/>
      </w:tblPr>
      <w:tblGrid>
        <w:gridCol w:w="991"/>
        <w:gridCol w:w="952"/>
        <w:gridCol w:w="1591"/>
        <w:gridCol w:w="1028"/>
        <w:gridCol w:w="1037"/>
        <w:gridCol w:w="1"/>
        <w:gridCol w:w="865"/>
        <w:gridCol w:w="1"/>
        <w:gridCol w:w="1191"/>
        <w:gridCol w:w="1"/>
        <w:gridCol w:w="1014"/>
        <w:gridCol w:w="1106"/>
      </w:tblGrid>
      <w:tr>
        <w:trPr>
          <w:trHeight w:val="290" w:hRule="atLeast"/>
        </w:trPr>
        <w:tc>
          <w:tcPr>
            <w:tcW w:w="9778" w:type="dxa"/>
            <w:gridSpan w:val="12"/>
            <w:tcBorders>
              <w:top w:val="single" w:sz="6" w:space="0" w:color="000000"/>
              <w:left w:val="single" w:sz="6" w:space="0" w:color="000000"/>
              <w:bottom w:val="single" w:sz="6" w:space="0" w:color="000000"/>
              <w:right w:val="single" w:sz="6" w:space="0" w:color="000000"/>
            </w:tcBorders>
            <w:shd w:color="auto" w:fill="A1E7FD" w:val="clear"/>
          </w:tcPr>
          <w:p>
            <w:pPr>
              <w:pStyle w:val="Normal"/>
              <w:snapToGrid w:val="false"/>
              <w:spacing w:lineRule="auto" w:line="240" w:before="0" w:after="0"/>
              <w:rPr>
                <w:rFonts w:ascii="Calibri" w:hAnsi="Calibri" w:cs="Calibri"/>
                <w:b/>
                <w:b/>
                <w:bCs/>
                <w:color w:val="000000"/>
                <w:sz w:val="18"/>
                <w:szCs w:val="18"/>
              </w:rPr>
            </w:pPr>
            <w:r>
              <w:rPr>
                <w:rFonts w:cs="Calibri" w:ascii="Calibri" w:hAnsi="Calibri"/>
                <w:b/>
                <w:bCs/>
                <w:color w:val="000000"/>
                <w:sz w:val="18"/>
                <w:szCs w:val="18"/>
              </w:rPr>
              <w:t xml:space="preserve">Náklady zariadenia sociálnych služieb  - mzdové, prevádzkové, EON  (v €) </w:t>
            </w:r>
          </w:p>
        </w:tc>
      </w:tr>
      <w:tr>
        <w:trPr>
          <w:trHeight w:val="531" w:hRule="atLeast"/>
        </w:trPr>
        <w:tc>
          <w:tcPr>
            <w:tcW w:w="991" w:type="dxa"/>
            <w:vMerge w:val="restart"/>
            <w:tcBorders>
              <w:top w:val="single" w:sz="6" w:space="0" w:color="000000"/>
              <w:left w:val="single" w:sz="6" w:space="0" w:color="000000"/>
            </w:tcBorders>
            <w:shd w:color="auto" w:fill="A1E7FD" w:val="clear"/>
            <w:vAlign w:val="center"/>
          </w:tcPr>
          <w:p>
            <w:pPr>
              <w:pStyle w:val="Normal"/>
              <w:spacing w:lineRule="auto" w:line="240" w:before="0" w:after="0"/>
              <w:jc w:val="center"/>
              <w:rPr>
                <w:rFonts w:ascii="Calibri" w:hAnsi="Calibri"/>
                <w:b/>
                <w:b/>
                <w:sz w:val="18"/>
                <w:szCs w:val="18"/>
              </w:rPr>
            </w:pPr>
            <w:r>
              <w:rPr>
                <w:rFonts w:cs="Calibri" w:ascii="Calibri" w:hAnsi="Calibri"/>
                <w:b/>
                <w:bCs/>
                <w:color w:val="000000"/>
                <w:sz w:val="18"/>
                <w:szCs w:val="18"/>
              </w:rPr>
              <w:t>Rok</w:t>
            </w:r>
          </w:p>
        </w:tc>
        <w:tc>
          <w:tcPr>
            <w:tcW w:w="952" w:type="dxa"/>
            <w:vMerge w:val="restart"/>
            <w:tcBorders>
              <w:top w:val="single" w:sz="6" w:space="0" w:color="000000"/>
              <w:left w:val="single" w:sz="6" w:space="0" w:color="000000"/>
            </w:tcBorders>
            <w:shd w:color="auto" w:fill="A1E7FD" w:val="clear"/>
            <w:vAlign w:val="center"/>
          </w:tcPr>
          <w:p>
            <w:pPr>
              <w:pStyle w:val="Normal"/>
              <w:spacing w:lineRule="auto" w:line="240" w:before="0" w:after="0"/>
              <w:jc w:val="center"/>
              <w:rPr>
                <w:rFonts w:ascii="Calibri" w:hAnsi="Calibri" w:cs="Calibri"/>
                <w:b/>
                <w:b/>
                <w:bCs/>
                <w:color w:val="000000"/>
                <w:sz w:val="18"/>
                <w:szCs w:val="18"/>
              </w:rPr>
            </w:pPr>
            <w:r>
              <w:rPr>
                <w:rFonts w:cs="Calibri" w:ascii="Calibri" w:hAnsi="Calibri"/>
                <w:b/>
                <w:bCs/>
                <w:color w:val="000000"/>
                <w:sz w:val="18"/>
                <w:szCs w:val="18"/>
              </w:rPr>
              <w:t>Celkom</w:t>
            </w:r>
          </w:p>
        </w:tc>
        <w:tc>
          <w:tcPr>
            <w:tcW w:w="3657" w:type="dxa"/>
            <w:gridSpan w:val="4"/>
            <w:tcBorders>
              <w:top w:val="single" w:sz="6" w:space="0" w:color="000000"/>
              <w:left w:val="single" w:sz="6" w:space="0" w:color="000000"/>
              <w:bottom w:val="single" w:sz="6" w:space="0" w:color="000000"/>
            </w:tcBorders>
            <w:shd w:color="auto" w:fill="A1E7FD" w:val="clear"/>
            <w:vAlign w:val="center"/>
          </w:tcPr>
          <w:p>
            <w:pPr>
              <w:pStyle w:val="Normal"/>
              <w:snapToGrid w:val="false"/>
              <w:spacing w:lineRule="auto" w:line="240" w:before="0" w:after="0"/>
              <w:jc w:val="center"/>
              <w:rPr>
                <w:rFonts w:ascii="Calibri" w:hAnsi="Calibri" w:cs="Calibri"/>
                <w:b/>
                <w:b/>
                <w:bCs/>
                <w:color w:val="000000"/>
                <w:sz w:val="18"/>
                <w:szCs w:val="18"/>
              </w:rPr>
            </w:pPr>
            <w:r>
              <w:rPr>
                <w:rFonts w:cs="Calibri" w:ascii="Calibri" w:hAnsi="Calibri"/>
                <w:b/>
                <w:bCs/>
                <w:color w:val="000000"/>
                <w:sz w:val="18"/>
                <w:szCs w:val="18"/>
              </w:rPr>
              <w:t>Bežné výdavky</w:t>
            </w:r>
          </w:p>
        </w:tc>
        <w:tc>
          <w:tcPr>
            <w:tcW w:w="866" w:type="dxa"/>
            <w:gridSpan w:val="2"/>
            <w:tcBorders>
              <w:top w:val="single" w:sz="6" w:space="0" w:color="000000"/>
              <w:left w:val="single" w:sz="6" w:space="0" w:color="000000"/>
            </w:tcBorders>
            <w:shd w:color="auto" w:fill="A1E7FD" w:val="clear"/>
            <w:vAlign w:val="center"/>
          </w:tcPr>
          <w:p>
            <w:pPr>
              <w:pStyle w:val="Normal"/>
              <w:spacing w:lineRule="auto" w:line="240" w:before="0" w:after="0"/>
              <w:jc w:val="center"/>
              <w:rPr>
                <w:rFonts w:ascii="Calibri" w:hAnsi="Calibri"/>
                <w:b/>
                <w:b/>
                <w:sz w:val="18"/>
                <w:szCs w:val="18"/>
              </w:rPr>
            </w:pPr>
            <w:r>
              <w:rPr>
                <w:rFonts w:cs="Calibri" w:ascii="Calibri" w:hAnsi="Calibri"/>
                <w:b/>
                <w:bCs/>
                <w:color w:val="000000"/>
                <w:sz w:val="18"/>
                <w:szCs w:val="18"/>
              </w:rPr>
              <w:t>Investičné</w:t>
            </w:r>
          </w:p>
          <w:p>
            <w:pPr>
              <w:pStyle w:val="Normal"/>
              <w:spacing w:lineRule="auto" w:line="240" w:before="0" w:after="0"/>
              <w:jc w:val="center"/>
              <w:rPr>
                <w:rFonts w:ascii="Calibri" w:hAnsi="Calibri"/>
                <w:b/>
                <w:b/>
                <w:sz w:val="18"/>
                <w:szCs w:val="18"/>
              </w:rPr>
            </w:pPr>
            <w:r>
              <w:rPr>
                <w:rFonts w:cs="Calibri" w:ascii="Calibri" w:hAnsi="Calibri"/>
                <w:b/>
                <w:bCs/>
                <w:color w:val="000000"/>
                <w:sz w:val="18"/>
                <w:szCs w:val="18"/>
              </w:rPr>
              <w:t>náklady</w:t>
            </w:r>
          </w:p>
        </w:tc>
        <w:tc>
          <w:tcPr>
            <w:tcW w:w="1192" w:type="dxa"/>
            <w:gridSpan w:val="2"/>
            <w:tcBorders>
              <w:top w:val="single" w:sz="6" w:space="0" w:color="000000"/>
              <w:left w:val="single" w:sz="6" w:space="0" w:color="000000"/>
            </w:tcBorders>
            <w:shd w:color="auto" w:fill="A1E7FD" w:val="clear"/>
            <w:vAlign w:val="center"/>
          </w:tcPr>
          <w:p>
            <w:pPr>
              <w:pStyle w:val="Normal"/>
              <w:spacing w:lineRule="auto" w:line="240" w:before="0" w:after="0"/>
              <w:jc w:val="center"/>
              <w:rPr>
                <w:rFonts w:ascii="Calibri" w:hAnsi="Calibri"/>
                <w:sz w:val="18"/>
                <w:szCs w:val="18"/>
              </w:rPr>
            </w:pPr>
            <w:r>
              <w:rPr>
                <w:rFonts w:cs="Calibri" w:ascii="Calibri" w:hAnsi="Calibri"/>
                <w:b/>
                <w:bCs/>
                <w:color w:val="000000"/>
                <w:sz w:val="18"/>
                <w:szCs w:val="18"/>
              </w:rPr>
              <w:t>Bežné náklady</w:t>
            </w:r>
          </w:p>
          <w:p>
            <w:pPr>
              <w:pStyle w:val="Normal"/>
              <w:spacing w:lineRule="auto" w:line="240" w:before="0" w:after="0"/>
              <w:jc w:val="center"/>
              <w:rPr>
                <w:rFonts w:ascii="Calibri" w:hAnsi="Calibri"/>
                <w:sz w:val="18"/>
                <w:szCs w:val="18"/>
              </w:rPr>
            </w:pPr>
            <w:r>
              <w:rPr>
                <w:rFonts w:cs="Calibri" w:ascii="Calibri" w:hAnsi="Calibri"/>
                <w:b/>
                <w:bCs/>
                <w:color w:val="000000"/>
                <w:sz w:val="18"/>
                <w:szCs w:val="18"/>
              </w:rPr>
              <w:t>na 1 PSS na 1mesiac</w:t>
            </w:r>
          </w:p>
        </w:tc>
        <w:tc>
          <w:tcPr>
            <w:tcW w:w="1014" w:type="dxa"/>
            <w:tcBorders>
              <w:top w:val="single" w:sz="6" w:space="0" w:color="000000"/>
              <w:left w:val="single" w:sz="6" w:space="0" w:color="000000"/>
            </w:tcBorders>
            <w:shd w:color="auto" w:fill="A1E7FD" w:val="clear"/>
            <w:vAlign w:val="center"/>
          </w:tcPr>
          <w:p>
            <w:pPr>
              <w:pStyle w:val="Normal"/>
              <w:spacing w:lineRule="auto" w:line="240" w:before="0" w:after="0"/>
              <w:jc w:val="center"/>
              <w:rPr>
                <w:rFonts w:ascii="Calibri" w:hAnsi="Calibri"/>
                <w:sz w:val="18"/>
                <w:szCs w:val="18"/>
              </w:rPr>
            </w:pPr>
            <w:r>
              <w:rPr>
                <w:rFonts w:cs="Calibri" w:ascii="Calibri" w:hAnsi="Calibri"/>
                <w:b/>
                <w:bCs/>
                <w:color w:val="000000"/>
                <w:sz w:val="18"/>
                <w:szCs w:val="18"/>
              </w:rPr>
              <w:t>EON</w:t>
            </w:r>
          </w:p>
          <w:p>
            <w:pPr>
              <w:pStyle w:val="Normal"/>
              <w:spacing w:lineRule="auto" w:line="240" w:before="0" w:after="0"/>
              <w:jc w:val="center"/>
              <w:rPr>
                <w:rFonts w:ascii="Calibri" w:hAnsi="Calibri" w:cs="Calibri"/>
                <w:b/>
                <w:b/>
                <w:bCs/>
                <w:color w:val="000000"/>
                <w:sz w:val="18"/>
                <w:szCs w:val="18"/>
              </w:rPr>
            </w:pPr>
            <w:r>
              <w:rPr>
                <w:rFonts w:cs="Calibri" w:ascii="Calibri" w:hAnsi="Calibri"/>
                <w:b/>
                <w:bCs/>
                <w:color w:val="000000"/>
                <w:sz w:val="18"/>
                <w:szCs w:val="18"/>
              </w:rPr>
              <w:t>na 1 PSS na 1 mesiac</w:t>
            </w:r>
          </w:p>
        </w:tc>
        <w:tc>
          <w:tcPr>
            <w:tcW w:w="1106" w:type="dxa"/>
            <w:tcBorders>
              <w:top w:val="single" w:sz="6" w:space="0" w:color="000000"/>
              <w:left w:val="single" w:sz="6" w:space="0" w:color="000000"/>
              <w:right w:val="single" w:sz="6" w:space="0" w:color="000000"/>
            </w:tcBorders>
            <w:shd w:color="auto" w:fill="A1E7FD" w:val="clear"/>
            <w:vAlign w:val="center"/>
          </w:tcPr>
          <w:p>
            <w:pPr>
              <w:pStyle w:val="Normal"/>
              <w:spacing w:lineRule="auto" w:line="240" w:before="0" w:after="0"/>
              <w:jc w:val="center"/>
              <w:rPr>
                <w:rFonts w:ascii="Calibri" w:hAnsi="Calibri"/>
                <w:sz w:val="18"/>
                <w:szCs w:val="18"/>
              </w:rPr>
            </w:pPr>
            <w:r>
              <w:rPr>
                <w:rFonts w:cs="Calibri" w:ascii="Calibri" w:hAnsi="Calibri"/>
                <w:b/>
                <w:bCs/>
                <w:color w:val="000000"/>
                <w:sz w:val="18"/>
                <w:szCs w:val="18"/>
              </w:rPr>
              <w:t>Priemerná mzda</w:t>
            </w:r>
          </w:p>
        </w:tc>
      </w:tr>
      <w:tr>
        <w:trPr>
          <w:trHeight w:val="554" w:hRule="atLeast"/>
        </w:trPr>
        <w:tc>
          <w:tcPr>
            <w:tcW w:w="991" w:type="dxa"/>
            <w:vMerge w:val="continue"/>
            <w:tcBorders>
              <w:left w:val="single" w:sz="6" w:space="0" w:color="000000"/>
            </w:tcBorders>
            <w:shd w:color="auto" w:fill="A1E7FD" w:val="clear"/>
          </w:tcPr>
          <w:p>
            <w:pPr>
              <w:pStyle w:val="Normal"/>
              <w:snapToGrid w:val="false"/>
              <w:spacing w:lineRule="auto" w:line="240" w:before="0" w:after="0"/>
              <w:rPr>
                <w:rFonts w:ascii="Calibri" w:hAnsi="Calibri" w:cs="Calibri"/>
                <w:b/>
                <w:b/>
                <w:bCs/>
                <w:color w:val="000000"/>
                <w:sz w:val="20"/>
                <w:szCs w:val="20"/>
              </w:rPr>
            </w:pPr>
            <w:r>
              <w:rPr>
                <w:rFonts w:cs="Calibri" w:ascii="Calibri" w:hAnsi="Calibri"/>
                <w:b/>
                <w:bCs/>
                <w:color w:val="000000"/>
                <w:sz w:val="20"/>
                <w:szCs w:val="20"/>
              </w:rPr>
            </w:r>
          </w:p>
        </w:tc>
        <w:tc>
          <w:tcPr>
            <w:tcW w:w="952" w:type="dxa"/>
            <w:vMerge w:val="continue"/>
            <w:tcBorders>
              <w:left w:val="single" w:sz="6" w:space="0" w:color="000000"/>
            </w:tcBorders>
            <w:shd w:color="auto" w:fill="A1E7FD" w:val="clear"/>
            <w:vAlign w:val="center"/>
          </w:tcPr>
          <w:p>
            <w:pPr>
              <w:pStyle w:val="Normal"/>
              <w:spacing w:lineRule="auto" w:line="240" w:before="0" w:after="0"/>
              <w:rPr>
                <w:rFonts w:ascii="Calibri" w:hAnsi="Calibri"/>
                <w:b/>
                <w:b/>
                <w:sz w:val="18"/>
                <w:szCs w:val="18"/>
              </w:rPr>
            </w:pPr>
            <w:r>
              <w:rPr>
                <w:rFonts w:ascii="Calibri" w:hAnsi="Calibri"/>
                <w:b/>
                <w:sz w:val="18"/>
                <w:szCs w:val="18"/>
              </w:rPr>
            </w:r>
          </w:p>
        </w:tc>
        <w:tc>
          <w:tcPr>
            <w:tcW w:w="1591" w:type="dxa"/>
            <w:tcBorders>
              <w:top w:val="single" w:sz="6" w:space="0" w:color="000000"/>
              <w:left w:val="single" w:sz="6" w:space="0" w:color="000000"/>
            </w:tcBorders>
            <w:shd w:color="auto" w:fill="A1E7FD" w:val="clear"/>
            <w:vAlign w:val="center"/>
          </w:tcPr>
          <w:p>
            <w:pPr>
              <w:pStyle w:val="Normal"/>
              <w:spacing w:lineRule="auto" w:line="240" w:before="0" w:after="0"/>
              <w:jc w:val="center"/>
              <w:rPr>
                <w:rFonts w:ascii="Calibri" w:hAnsi="Calibri"/>
                <w:b/>
                <w:b/>
                <w:sz w:val="18"/>
                <w:szCs w:val="18"/>
              </w:rPr>
            </w:pPr>
            <w:r>
              <w:rPr>
                <w:rFonts w:cs="Calibri" w:ascii="Calibri" w:hAnsi="Calibri"/>
                <w:b/>
                <w:bCs/>
                <w:color w:val="000000"/>
                <w:sz w:val="18"/>
                <w:szCs w:val="18"/>
              </w:rPr>
              <w:t>Prevádzkové výdavky</w:t>
            </w:r>
          </w:p>
        </w:tc>
        <w:tc>
          <w:tcPr>
            <w:tcW w:w="1028" w:type="dxa"/>
            <w:tcBorders>
              <w:top w:val="single" w:sz="6" w:space="0" w:color="000000"/>
              <w:left w:val="single" w:sz="6" w:space="0" w:color="000000"/>
            </w:tcBorders>
            <w:shd w:color="auto" w:fill="A1E7FD" w:val="clear"/>
            <w:vAlign w:val="center"/>
          </w:tcPr>
          <w:p>
            <w:pPr>
              <w:pStyle w:val="Normal"/>
              <w:spacing w:lineRule="auto" w:line="240" w:before="0" w:after="0"/>
              <w:jc w:val="center"/>
              <w:rPr>
                <w:rFonts w:ascii="Calibri" w:hAnsi="Calibri"/>
                <w:b/>
                <w:b/>
                <w:sz w:val="18"/>
                <w:szCs w:val="18"/>
              </w:rPr>
            </w:pPr>
            <w:r>
              <w:rPr>
                <w:rFonts w:cs="Calibri" w:ascii="Calibri" w:hAnsi="Calibri"/>
                <w:b/>
                <w:bCs/>
                <w:color w:val="000000"/>
                <w:sz w:val="18"/>
                <w:szCs w:val="18"/>
              </w:rPr>
              <w:t>Mzdové výdavky</w:t>
            </w:r>
          </w:p>
        </w:tc>
        <w:tc>
          <w:tcPr>
            <w:tcW w:w="1037" w:type="dxa"/>
            <w:tcBorders>
              <w:top w:val="single" w:sz="6" w:space="0" w:color="000000"/>
              <w:left w:val="single" w:sz="6" w:space="0" w:color="000000"/>
            </w:tcBorders>
            <w:shd w:color="auto" w:fill="A1E7FD" w:val="clear"/>
            <w:vAlign w:val="center"/>
          </w:tcPr>
          <w:p>
            <w:pPr>
              <w:pStyle w:val="Normal"/>
              <w:spacing w:lineRule="auto" w:line="240" w:before="0" w:after="0"/>
              <w:jc w:val="center"/>
              <w:rPr>
                <w:rFonts w:ascii="Calibri" w:hAnsi="Calibri"/>
                <w:b/>
                <w:b/>
                <w:sz w:val="18"/>
                <w:szCs w:val="18"/>
              </w:rPr>
            </w:pPr>
            <w:r>
              <w:rPr>
                <w:rFonts w:cs="Calibri" w:ascii="Calibri" w:hAnsi="Calibri"/>
                <w:b/>
                <w:bCs/>
                <w:color w:val="000000"/>
                <w:sz w:val="18"/>
                <w:szCs w:val="18"/>
              </w:rPr>
              <w:t>Povinné sociálne poistenie</w:t>
            </w:r>
          </w:p>
        </w:tc>
        <w:tc>
          <w:tcPr>
            <w:tcW w:w="866" w:type="dxa"/>
            <w:gridSpan w:val="2"/>
            <w:tcBorders>
              <w:left w:val="single" w:sz="6" w:space="0" w:color="000000"/>
            </w:tcBorders>
            <w:shd w:color="auto" w:fill="A1E7FD" w:val="clear"/>
          </w:tcPr>
          <w:p>
            <w:pPr>
              <w:pStyle w:val="Normal"/>
              <w:snapToGrid w:val="false"/>
              <w:spacing w:lineRule="auto" w:line="240" w:before="0" w:after="0"/>
              <w:jc w:val="center"/>
              <w:rPr>
                <w:rFonts w:ascii="Calibri" w:hAnsi="Calibri" w:cs="Calibri"/>
                <w:b/>
                <w:b/>
                <w:bCs/>
                <w:color w:val="000000"/>
                <w:sz w:val="18"/>
                <w:szCs w:val="18"/>
              </w:rPr>
            </w:pPr>
            <w:r>
              <w:rPr>
                <w:rFonts w:cs="Calibri" w:ascii="Calibri" w:hAnsi="Calibri"/>
                <w:b/>
                <w:bCs/>
                <w:color w:val="000000"/>
                <w:sz w:val="18"/>
                <w:szCs w:val="18"/>
              </w:rPr>
            </w:r>
          </w:p>
        </w:tc>
        <w:tc>
          <w:tcPr>
            <w:tcW w:w="1192" w:type="dxa"/>
            <w:gridSpan w:val="2"/>
            <w:tcBorders>
              <w:left w:val="single" w:sz="6" w:space="0" w:color="000000"/>
            </w:tcBorders>
            <w:shd w:color="auto" w:fill="A1E7FD" w:val="clear"/>
          </w:tcPr>
          <w:p>
            <w:pPr>
              <w:pStyle w:val="Normal"/>
              <w:snapToGrid w:val="false"/>
              <w:spacing w:lineRule="auto" w:line="240" w:before="0" w:after="0"/>
              <w:jc w:val="center"/>
              <w:rPr>
                <w:rFonts w:ascii="Calibri" w:hAnsi="Calibri" w:cs="Calibri"/>
                <w:b/>
                <w:b/>
                <w:bCs/>
                <w:color w:val="000000"/>
                <w:sz w:val="18"/>
                <w:szCs w:val="18"/>
              </w:rPr>
            </w:pPr>
            <w:r>
              <w:rPr>
                <w:rFonts w:cs="Calibri" w:ascii="Calibri" w:hAnsi="Calibri"/>
                <w:b/>
                <w:bCs/>
                <w:color w:val="000000"/>
                <w:sz w:val="18"/>
                <w:szCs w:val="18"/>
              </w:rPr>
            </w:r>
          </w:p>
        </w:tc>
        <w:tc>
          <w:tcPr>
            <w:tcW w:w="1015" w:type="dxa"/>
            <w:gridSpan w:val="2"/>
            <w:tcBorders>
              <w:left w:val="single" w:sz="6" w:space="0" w:color="000000"/>
            </w:tcBorders>
            <w:shd w:color="auto" w:fill="A1E7FD" w:val="clear"/>
          </w:tcPr>
          <w:p>
            <w:pPr>
              <w:pStyle w:val="Normal"/>
              <w:snapToGrid w:val="false"/>
              <w:spacing w:lineRule="auto" w:line="240" w:before="0" w:after="0"/>
              <w:jc w:val="center"/>
              <w:rPr>
                <w:rFonts w:ascii="Calibri" w:hAnsi="Calibri" w:cs="Calibri"/>
                <w:b/>
                <w:b/>
                <w:bCs/>
                <w:color w:val="000000"/>
                <w:sz w:val="18"/>
                <w:szCs w:val="18"/>
              </w:rPr>
            </w:pPr>
            <w:r>
              <w:rPr>
                <w:rFonts w:cs="Calibri" w:ascii="Calibri" w:hAnsi="Calibri"/>
                <w:b/>
                <w:bCs/>
                <w:color w:val="000000"/>
                <w:sz w:val="18"/>
                <w:szCs w:val="18"/>
              </w:rPr>
            </w:r>
          </w:p>
        </w:tc>
        <w:tc>
          <w:tcPr>
            <w:tcW w:w="1106" w:type="dxa"/>
            <w:tcBorders>
              <w:left w:val="single" w:sz="6" w:space="0" w:color="000000"/>
              <w:right w:val="single" w:sz="6" w:space="0" w:color="000000"/>
            </w:tcBorders>
            <w:shd w:color="auto" w:fill="A1E7FD" w:val="clear"/>
          </w:tcPr>
          <w:p>
            <w:pPr>
              <w:pStyle w:val="Normal"/>
              <w:snapToGrid w:val="false"/>
              <w:spacing w:lineRule="auto" w:line="240" w:before="0" w:after="0"/>
              <w:jc w:val="center"/>
              <w:rPr>
                <w:rFonts w:ascii="Calibri" w:hAnsi="Calibri" w:cs="Calibri"/>
                <w:color w:val="000000"/>
                <w:sz w:val="18"/>
                <w:szCs w:val="18"/>
              </w:rPr>
            </w:pPr>
            <w:r>
              <w:rPr>
                <w:rFonts w:cs="Calibri" w:ascii="Calibri" w:hAnsi="Calibri"/>
                <w:color w:val="000000"/>
                <w:sz w:val="18"/>
                <w:szCs w:val="18"/>
              </w:rPr>
            </w:r>
          </w:p>
        </w:tc>
      </w:tr>
      <w:tr>
        <w:trPr>
          <w:trHeight w:val="121" w:hRule="atLeast"/>
        </w:trPr>
        <w:tc>
          <w:tcPr>
            <w:tcW w:w="991"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bCs/>
                <w:color w:val="000000"/>
                <w:sz w:val="22"/>
                <w:szCs w:val="22"/>
              </w:rPr>
              <w:t>2016</w:t>
            </w:r>
          </w:p>
        </w:tc>
        <w:tc>
          <w:tcPr>
            <w:tcW w:w="952"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444 741</w:t>
            </w:r>
          </w:p>
        </w:tc>
        <w:tc>
          <w:tcPr>
            <w:tcW w:w="159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139 257</w:t>
            </w:r>
          </w:p>
        </w:tc>
        <w:tc>
          <w:tcPr>
            <w:tcW w:w="1028"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225 310</w:t>
            </w:r>
          </w:p>
        </w:tc>
        <w:tc>
          <w:tcPr>
            <w:tcW w:w="1037"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80 174</w:t>
            </w:r>
          </w:p>
        </w:tc>
        <w:tc>
          <w:tcPr>
            <w:tcW w:w="866"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2 970</w:t>
            </w:r>
          </w:p>
        </w:tc>
        <w:tc>
          <w:tcPr>
            <w:tcW w:w="1192"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744</w:t>
            </w:r>
          </w:p>
        </w:tc>
        <w:tc>
          <w:tcPr>
            <w:tcW w:w="1015"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755</w:t>
            </w:r>
          </w:p>
        </w:tc>
        <w:tc>
          <w:tcPr>
            <w:tcW w:w="1106"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ind w:left="128" w:hanging="128"/>
              <w:jc w:val="right"/>
              <w:rPr>
                <w:rFonts w:ascii="Calibri" w:hAnsi="Calibri"/>
                <w:sz w:val="22"/>
                <w:szCs w:val="22"/>
              </w:rPr>
            </w:pPr>
            <w:r>
              <w:rPr>
                <w:rFonts w:cs="Calibri" w:ascii="Calibri" w:hAnsi="Calibri"/>
                <w:color w:val="000000"/>
                <w:sz w:val="22"/>
                <w:szCs w:val="22"/>
              </w:rPr>
              <w:t>678</w:t>
            </w:r>
          </w:p>
        </w:tc>
      </w:tr>
      <w:tr>
        <w:trPr>
          <w:trHeight w:val="290" w:hRule="atLeast"/>
        </w:trPr>
        <w:tc>
          <w:tcPr>
            <w:tcW w:w="991"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bCs/>
                <w:color w:val="000000"/>
                <w:sz w:val="22"/>
                <w:szCs w:val="22"/>
              </w:rPr>
              <w:t>2017</w:t>
            </w:r>
          </w:p>
        </w:tc>
        <w:tc>
          <w:tcPr>
            <w:tcW w:w="952"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466 505</w:t>
            </w:r>
          </w:p>
        </w:tc>
        <w:tc>
          <w:tcPr>
            <w:tcW w:w="159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140 151</w:t>
            </w:r>
          </w:p>
        </w:tc>
        <w:tc>
          <w:tcPr>
            <w:tcW w:w="1028"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239 073</w:t>
            </w:r>
          </w:p>
        </w:tc>
        <w:tc>
          <w:tcPr>
            <w:tcW w:w="1037"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87 281</w:t>
            </w:r>
          </w:p>
        </w:tc>
        <w:tc>
          <w:tcPr>
            <w:tcW w:w="866" w:type="dxa"/>
            <w:gridSpan w:val="2"/>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0</w:t>
            </w:r>
          </w:p>
        </w:tc>
        <w:tc>
          <w:tcPr>
            <w:tcW w:w="1192"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782</w:t>
            </w:r>
          </w:p>
        </w:tc>
        <w:tc>
          <w:tcPr>
            <w:tcW w:w="1015"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785</w:t>
            </w:r>
          </w:p>
        </w:tc>
        <w:tc>
          <w:tcPr>
            <w:tcW w:w="1106"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694</w:t>
            </w:r>
          </w:p>
        </w:tc>
      </w:tr>
      <w:tr>
        <w:trPr>
          <w:trHeight w:val="290" w:hRule="atLeast"/>
        </w:trPr>
        <w:tc>
          <w:tcPr>
            <w:tcW w:w="991"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bCs/>
                <w:color w:val="000000"/>
                <w:sz w:val="22"/>
                <w:szCs w:val="22"/>
              </w:rPr>
              <w:t>2018</w:t>
            </w:r>
          </w:p>
        </w:tc>
        <w:tc>
          <w:tcPr>
            <w:tcW w:w="952"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498 098</w:t>
            </w:r>
          </w:p>
        </w:tc>
        <w:tc>
          <w:tcPr>
            <w:tcW w:w="159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143 033</w:t>
            </w:r>
          </w:p>
        </w:tc>
        <w:tc>
          <w:tcPr>
            <w:tcW w:w="1028"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255 258</w:t>
            </w:r>
          </w:p>
        </w:tc>
        <w:tc>
          <w:tcPr>
            <w:tcW w:w="1037"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94 088</w:t>
            </w:r>
          </w:p>
        </w:tc>
        <w:tc>
          <w:tcPr>
            <w:tcW w:w="866"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229 960</w:t>
            </w:r>
          </w:p>
        </w:tc>
        <w:tc>
          <w:tcPr>
            <w:tcW w:w="1192"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832</w:t>
            </w:r>
          </w:p>
        </w:tc>
        <w:tc>
          <w:tcPr>
            <w:tcW w:w="1015"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828</w:t>
            </w:r>
          </w:p>
        </w:tc>
        <w:tc>
          <w:tcPr>
            <w:tcW w:w="1106"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760</w:t>
            </w:r>
          </w:p>
        </w:tc>
      </w:tr>
      <w:tr>
        <w:trPr>
          <w:trHeight w:val="290" w:hRule="atLeast"/>
        </w:trPr>
        <w:tc>
          <w:tcPr>
            <w:tcW w:w="991"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sz w:val="22"/>
                <w:szCs w:val="22"/>
              </w:rPr>
              <w:t>2019</w:t>
            </w:r>
          </w:p>
        </w:tc>
        <w:tc>
          <w:tcPr>
            <w:tcW w:w="952"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594 675</w:t>
            </w:r>
          </w:p>
        </w:tc>
        <w:tc>
          <w:tcPr>
            <w:tcW w:w="159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165 515</w:t>
            </w:r>
          </w:p>
        </w:tc>
        <w:tc>
          <w:tcPr>
            <w:tcW w:w="1028"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308 561</w:t>
            </w:r>
          </w:p>
        </w:tc>
        <w:tc>
          <w:tcPr>
            <w:tcW w:w="1037" w:type="dxa"/>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113 944</w:t>
            </w:r>
          </w:p>
        </w:tc>
        <w:tc>
          <w:tcPr>
            <w:tcW w:w="866" w:type="dxa"/>
            <w:gridSpan w:val="2"/>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44 727</w:t>
            </w:r>
          </w:p>
        </w:tc>
        <w:tc>
          <w:tcPr>
            <w:tcW w:w="1192"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cs="Calibri"/>
                <w:color w:val="000000"/>
                <w:sz w:val="22"/>
                <w:szCs w:val="22"/>
              </w:rPr>
            </w:pPr>
            <w:r>
              <w:rPr>
                <w:rFonts w:cs="Calibri" w:ascii="Calibri" w:hAnsi="Calibri"/>
                <w:color w:val="000000"/>
                <w:sz w:val="22"/>
                <w:szCs w:val="22"/>
              </w:rPr>
              <w:t xml:space="preserve">986 </w:t>
            </w:r>
          </w:p>
        </w:tc>
        <w:tc>
          <w:tcPr>
            <w:tcW w:w="1015" w:type="dxa"/>
            <w:gridSpan w:val="2"/>
            <w:tcBorders>
              <w:top w:val="single" w:sz="6" w:space="0" w:color="000000"/>
              <w:left w:val="single" w:sz="6" w:space="0" w:color="000000"/>
              <w:bottom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990</w:t>
            </w:r>
          </w:p>
        </w:tc>
        <w:tc>
          <w:tcPr>
            <w:tcW w:w="1106" w:type="dxa"/>
            <w:tcBorders>
              <w:top w:val="single" w:sz="6" w:space="0" w:color="000000"/>
              <w:left w:val="single" w:sz="6" w:space="0" w:color="000000"/>
              <w:bottom w:val="single" w:sz="6" w:space="0" w:color="000000"/>
              <w:right w:val="single" w:sz="6" w:space="0" w:color="000000"/>
            </w:tcBorders>
            <w:shd w:color="auto" w:fill="auto" w:val="clear"/>
          </w:tcPr>
          <w:p>
            <w:pPr>
              <w:pStyle w:val="Normal"/>
              <w:spacing w:lineRule="auto" w:line="240" w:before="0" w:after="0"/>
              <w:jc w:val="right"/>
              <w:rPr>
                <w:rFonts w:ascii="Calibri" w:hAnsi="Calibri"/>
                <w:sz w:val="22"/>
                <w:szCs w:val="22"/>
              </w:rPr>
            </w:pPr>
            <w:r>
              <w:rPr>
                <w:rFonts w:cs="Calibri" w:ascii="Calibri" w:hAnsi="Calibri"/>
                <w:color w:val="000000"/>
                <w:sz w:val="22"/>
                <w:szCs w:val="22"/>
              </w:rPr>
              <w:t>918</w:t>
            </w:r>
          </w:p>
        </w:tc>
      </w:tr>
      <w:tr>
        <w:trPr>
          <w:trHeight w:val="290" w:hRule="atLeast"/>
        </w:trPr>
        <w:tc>
          <w:tcPr>
            <w:tcW w:w="99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sz w:val="22"/>
                <w:szCs w:val="22"/>
              </w:rPr>
            </w:pPr>
            <w:r>
              <w:rPr>
                <w:rFonts w:cs="Calibri" w:ascii="Calibri" w:hAnsi="Calibri"/>
                <w:sz w:val="22"/>
                <w:szCs w:val="22"/>
              </w:rPr>
              <w:t>30.6.2020</w:t>
            </w:r>
          </w:p>
        </w:tc>
        <w:tc>
          <w:tcPr>
            <w:tcW w:w="952"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 xml:space="preserve">264 705 </w:t>
            </w:r>
          </w:p>
        </w:tc>
        <w:tc>
          <w:tcPr>
            <w:tcW w:w="1591"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 xml:space="preserve">75 125 </w:t>
            </w:r>
          </w:p>
        </w:tc>
        <w:tc>
          <w:tcPr>
            <w:tcW w:w="1028"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164 527</w:t>
            </w:r>
          </w:p>
        </w:tc>
        <w:tc>
          <w:tcPr>
            <w:tcW w:w="1037" w:type="dxa"/>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58 705</w:t>
            </w:r>
          </w:p>
        </w:tc>
        <w:tc>
          <w:tcPr>
            <w:tcW w:w="866" w:type="dxa"/>
            <w:gridSpan w:val="2"/>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1 200</w:t>
            </w:r>
          </w:p>
        </w:tc>
        <w:tc>
          <w:tcPr>
            <w:tcW w:w="1192" w:type="dxa"/>
            <w:gridSpan w:val="2"/>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881</w:t>
            </w:r>
          </w:p>
        </w:tc>
        <w:tc>
          <w:tcPr>
            <w:tcW w:w="1015" w:type="dxa"/>
            <w:gridSpan w:val="2"/>
            <w:tcBorders>
              <w:top w:val="single" w:sz="6" w:space="0" w:color="000000"/>
              <w:left w:val="single" w:sz="6" w:space="0" w:color="000000"/>
              <w:bottom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890</w:t>
            </w:r>
          </w:p>
        </w:tc>
        <w:tc>
          <w:tcPr>
            <w:tcW w:w="1106" w:type="dxa"/>
            <w:tcBorders>
              <w:top w:val="single" w:sz="6" w:space="0" w:color="000000"/>
              <w:left w:val="single" w:sz="6" w:space="0" w:color="000000"/>
              <w:bottom w:val="single" w:sz="6" w:space="0" w:color="000000"/>
              <w:right w:val="single" w:sz="6" w:space="0" w:color="000000"/>
            </w:tcBorders>
            <w:shd w:color="auto" w:fill="auto" w:val="clear"/>
          </w:tcPr>
          <w:p>
            <w:pPr>
              <w:pStyle w:val="Normal"/>
              <w:snapToGrid w:val="false"/>
              <w:spacing w:lineRule="auto" w:line="240" w:before="0" w:after="0"/>
              <w:jc w:val="right"/>
              <w:rPr>
                <w:rFonts w:ascii="Calibri" w:hAnsi="Calibri" w:cs="Calibri"/>
                <w:color w:val="000000"/>
                <w:sz w:val="22"/>
                <w:szCs w:val="22"/>
              </w:rPr>
            </w:pPr>
            <w:r>
              <w:rPr>
                <w:rFonts w:cs="Calibri" w:ascii="Calibri" w:hAnsi="Calibri"/>
                <w:color w:val="000000"/>
                <w:sz w:val="22"/>
                <w:szCs w:val="22"/>
              </w:rPr>
              <w:t>927</w:t>
            </w:r>
          </w:p>
        </w:tc>
      </w:tr>
    </w:tbl>
    <w:p>
      <w:pPr>
        <w:pStyle w:val="Normlnweb1"/>
        <w:shd w:val="clear" w:color="auto" w:fill="FFFFFF"/>
        <w:spacing w:before="0" w:after="200"/>
        <w:ind w:left="-284" w:hanging="0"/>
        <w:rPr>
          <w:sz w:val="22"/>
          <w:szCs w:val="22"/>
        </w:rPr>
      </w:pPr>
      <w:r>
        <w:rPr>
          <w:sz w:val="22"/>
          <w:szCs w:val="22"/>
        </w:rPr>
        <w:t xml:space="preserve">Tabuľka 5 Prevádzkové, mzdové náklady, EON (v €) </w:t>
        <w:tab/>
        <w:tab/>
        <w:tab/>
        <w:tab/>
        <w:tab/>
        <w:tab/>
        <w:tab/>
        <w:tab/>
      </w:r>
    </w:p>
    <w:p>
      <w:pPr>
        <w:pStyle w:val="Normlnweb1"/>
        <w:shd w:val="clear" w:color="auto" w:fill="FFFFFF"/>
        <w:spacing w:before="0" w:after="200"/>
        <w:ind w:left="-284" w:hanging="0"/>
        <w:rPr>
          <w:sz w:val="22"/>
          <w:szCs w:val="22"/>
        </w:rPr>
      </w:pPr>
      <w:r>
        <w:rPr>
          <w:sz w:val="22"/>
          <w:szCs w:val="22"/>
        </w:rPr>
      </w:r>
    </w:p>
    <w:p>
      <w:pPr>
        <w:pStyle w:val="Normlnweb1"/>
        <w:shd w:val="clear" w:color="auto" w:fill="FFFFFF"/>
        <w:spacing w:before="0" w:after="200"/>
        <w:ind w:left="-284" w:hanging="0"/>
        <w:rPr>
          <w:sz w:val="22"/>
          <w:szCs w:val="22"/>
        </w:rPr>
      </w:pPr>
      <w:r>
        <w:rPr>
          <w:sz w:val="22"/>
          <w:szCs w:val="22"/>
        </w:rPr>
      </w:r>
    </w:p>
    <w:p>
      <w:pPr>
        <w:pStyle w:val="Normlnweb1"/>
        <w:shd w:val="clear" w:color="auto" w:fill="FFFFFF"/>
        <w:spacing w:before="0" w:after="200"/>
        <w:ind w:left="-284" w:hanging="0"/>
        <w:rPr>
          <w:sz w:val="22"/>
          <w:szCs w:val="22"/>
        </w:rPr>
      </w:pPr>
      <w:r>
        <w:rPr>
          <w:sz w:val="22"/>
          <w:szCs w:val="22"/>
        </w:rPr>
      </w:r>
    </w:p>
    <w:p>
      <w:pPr>
        <w:pStyle w:val="Normlnweb1"/>
        <w:shd w:val="clear" w:color="auto" w:fill="FFFFFF"/>
        <w:spacing w:before="0" w:after="200"/>
        <w:ind w:left="-284" w:hanging="0"/>
        <w:rPr>
          <w:sz w:val="22"/>
          <w:szCs w:val="22"/>
        </w:rPr>
      </w:pPr>
      <w:r>
        <w:rPr>
          <w:sz w:val="22"/>
          <w:szCs w:val="22"/>
        </w:rPr>
      </w:r>
    </w:p>
    <w:p>
      <w:pPr>
        <w:pStyle w:val="Normlnweb1"/>
        <w:shd w:val="clear" w:color="auto" w:fill="FFFFFF"/>
        <w:spacing w:before="0" w:after="200"/>
        <w:ind w:left="-284" w:hanging="0"/>
        <w:rPr>
          <w:sz w:val="22"/>
          <w:szCs w:val="22"/>
        </w:rPr>
      </w:pPr>
      <w:r>
        <w:rPr>
          <w:sz w:val="22"/>
          <w:szCs w:val="22"/>
        </w:rPr>
      </w:r>
    </w:p>
    <w:p>
      <w:pPr>
        <w:pStyle w:val="Normlnweb1"/>
        <w:shd w:val="clear" w:color="auto" w:fill="FFFFFF"/>
        <w:spacing w:before="0" w:after="200"/>
        <w:ind w:left="-284" w:hanging="0"/>
        <w:rPr>
          <w:sz w:val="22"/>
          <w:szCs w:val="22"/>
        </w:rPr>
      </w:pPr>
      <w:r>
        <w:rPr>
          <w:sz w:val="22"/>
          <w:szCs w:val="22"/>
        </w:rPr>
      </w:r>
    </w:p>
    <w:p>
      <w:pPr>
        <w:pStyle w:val="Normlnweb1"/>
        <w:shd w:val="clear" w:color="auto" w:fill="FFFFFF"/>
        <w:spacing w:before="0" w:after="200"/>
        <w:ind w:left="-284" w:hanging="0"/>
        <w:rPr>
          <w:sz w:val="22"/>
          <w:szCs w:val="22"/>
        </w:rPr>
      </w:pPr>
      <w:r>
        <w:rPr>
          <w:sz w:val="22"/>
          <w:szCs w:val="22"/>
        </w:rPr>
      </w:r>
    </w:p>
    <w:p>
      <w:pPr>
        <w:pStyle w:val="Nadpis21"/>
        <w:ind w:left="1070" w:hanging="360"/>
        <w:rPr/>
      </w:pPr>
      <w:bookmarkStart w:id="10" w:name="_Toc71021259"/>
      <w:r>
        <w:rPr/>
        <w:t>2.6. SWOT analýza aktuálne poskytovaných sociálnych služieb</w:t>
      </w:r>
      <w:bookmarkEnd w:id="10"/>
    </w:p>
    <w:tbl>
      <w:tblPr>
        <w:tblW w:w="9252" w:type="dxa"/>
        <w:jc w:val="center"/>
        <w:tblInd w:w="0" w:type="dxa"/>
        <w:tblCellMar>
          <w:top w:w="0" w:type="dxa"/>
          <w:left w:w="108" w:type="dxa"/>
          <w:bottom w:w="0" w:type="dxa"/>
          <w:right w:w="108" w:type="dxa"/>
        </w:tblCellMar>
        <w:tblLook w:val="0000"/>
      </w:tblPr>
      <w:tblGrid>
        <w:gridCol w:w="4601"/>
        <w:gridCol w:w="4650"/>
      </w:tblGrid>
      <w:tr>
        <w:trPr/>
        <w:tc>
          <w:tcPr>
            <w:tcW w:w="4601" w:type="dxa"/>
            <w:tcBorders>
              <w:top w:val="single" w:sz="4" w:space="0" w:color="000000"/>
              <w:left w:val="single" w:sz="4" w:space="0" w:color="000000"/>
              <w:bottom w:val="single" w:sz="4" w:space="0" w:color="000000"/>
              <w:right w:val="single" w:sz="4" w:space="0" w:color="000000"/>
            </w:tcBorders>
            <w:shd w:color="auto" w:fill="37CBFF" w:val="clear"/>
            <w:vAlign w:val="center"/>
          </w:tcPr>
          <w:p>
            <w:pPr>
              <w:pStyle w:val="Odstavecseseznamem1"/>
              <w:spacing w:lineRule="atLeast" w:line="22" w:before="0" w:after="200"/>
              <w:ind w:left="0" w:hanging="0"/>
              <w:contextualSpacing/>
              <w:jc w:val="center"/>
              <w:rPr/>
            </w:pPr>
            <w:r>
              <w:rPr>
                <w:rFonts w:cs="Calibri" w:ascii="Calibri" w:hAnsi="Calibri"/>
                <w:b/>
                <w:bCs/>
                <w:sz w:val="22"/>
              </w:rPr>
              <w:t>SILNÉ STRÁNKY</w:t>
            </w:r>
          </w:p>
        </w:tc>
        <w:tc>
          <w:tcPr>
            <w:tcW w:w="4650" w:type="dxa"/>
            <w:tcBorders>
              <w:top w:val="single" w:sz="4" w:space="0" w:color="000000"/>
              <w:left w:val="single" w:sz="4" w:space="0" w:color="000000"/>
              <w:bottom w:val="single" w:sz="4" w:space="0" w:color="000000"/>
              <w:right w:val="single" w:sz="4" w:space="0" w:color="000000"/>
            </w:tcBorders>
            <w:shd w:color="auto" w:fill="37CBFF" w:val="clear"/>
            <w:vAlign w:val="center"/>
          </w:tcPr>
          <w:p>
            <w:pPr>
              <w:pStyle w:val="Odstavecseseznamem1"/>
              <w:spacing w:lineRule="atLeast" w:line="22"/>
              <w:ind w:left="0" w:hanging="0"/>
              <w:jc w:val="center"/>
              <w:rPr>
                <w:rFonts w:ascii="Calibri" w:hAnsi="Calibri" w:cs="Calibri"/>
                <w:b/>
                <w:b/>
                <w:bCs/>
                <w:sz w:val="22"/>
              </w:rPr>
            </w:pPr>
            <w:r>
              <w:rPr>
                <w:rFonts w:cs="Calibri" w:ascii="Calibri" w:hAnsi="Calibri"/>
                <w:b/>
                <w:bCs/>
                <w:sz w:val="22"/>
              </w:rPr>
            </w:r>
          </w:p>
          <w:p>
            <w:pPr>
              <w:pStyle w:val="Odstavecseseznamem1"/>
              <w:spacing w:lineRule="atLeast" w:line="22" w:before="0" w:after="200"/>
              <w:ind w:left="0" w:hanging="0"/>
              <w:contextualSpacing/>
              <w:jc w:val="center"/>
              <w:rPr>
                <w:rFonts w:ascii="Calibri" w:hAnsi="Calibri" w:cs="Calibri"/>
                <w:b/>
                <w:b/>
                <w:bCs/>
                <w:sz w:val="22"/>
              </w:rPr>
            </w:pPr>
            <w:r>
              <w:rPr>
                <w:rFonts w:cs="Calibri" w:ascii="Calibri" w:hAnsi="Calibri"/>
                <w:b/>
                <w:bCs/>
                <w:sz w:val="22"/>
              </w:rPr>
              <w:t>SLABÉ STRÁNKY</w:t>
            </w:r>
          </w:p>
        </w:tc>
      </w:tr>
      <w:tr>
        <w:trPr>
          <w:trHeight w:val="1519" w:hRule="atLeast"/>
        </w:trPr>
        <w:tc>
          <w:tcPr>
            <w:tcW w:w="4601" w:type="dxa"/>
            <w:tcBorders>
              <w:top w:val="single" w:sz="4" w:space="0" w:color="000000"/>
              <w:left w:val="single" w:sz="4" w:space="0" w:color="000000"/>
              <w:bottom w:val="single" w:sz="4" w:space="0" w:color="000000"/>
              <w:right w:val="single" w:sz="4" w:space="0" w:color="000000"/>
            </w:tcBorders>
            <w:shd w:color="auto" w:fill="auto" w:val="clear"/>
          </w:tcPr>
          <w:p>
            <w:pPr>
              <w:pStyle w:val="Odstavecseseznamem1"/>
              <w:numPr>
                <w:ilvl w:val="0"/>
                <w:numId w:val="10"/>
              </w:numPr>
              <w:spacing w:lineRule="atLeast" w:line="22" w:before="0" w:after="0"/>
              <w:contextualSpacing/>
              <w:jc w:val="both"/>
              <w:rPr/>
            </w:pPr>
            <w:r>
              <w:rPr>
                <w:rFonts w:cs="Calibri" w:ascii="Calibri" w:hAnsi="Calibri"/>
                <w:b/>
                <w:bCs/>
                <w:sz w:val="22"/>
              </w:rPr>
              <w:t>Pozitívne vnímanie verejnosťou</w:t>
            </w:r>
          </w:p>
          <w:p>
            <w:pPr>
              <w:pStyle w:val="Odstavecseseznamem1"/>
              <w:numPr>
                <w:ilvl w:val="0"/>
                <w:numId w:val="10"/>
              </w:numPr>
              <w:spacing w:lineRule="atLeast" w:line="22" w:before="0" w:after="0"/>
              <w:contextualSpacing/>
              <w:jc w:val="both"/>
              <w:rPr/>
            </w:pPr>
            <w:r>
              <w:rPr>
                <w:rFonts w:cs="Calibri" w:ascii="Calibri" w:hAnsi="Calibri"/>
                <w:bCs/>
                <w:sz w:val="22"/>
              </w:rPr>
              <w:t xml:space="preserve">Dobré meno organizácie </w:t>
            </w:r>
          </w:p>
          <w:p>
            <w:pPr>
              <w:pStyle w:val="Odstavecseseznamem1"/>
              <w:numPr>
                <w:ilvl w:val="0"/>
                <w:numId w:val="10"/>
              </w:numPr>
              <w:spacing w:lineRule="atLeast" w:line="22" w:before="0" w:after="0"/>
              <w:contextualSpacing/>
              <w:jc w:val="both"/>
              <w:rPr/>
            </w:pPr>
            <w:r>
              <w:rPr>
                <w:rFonts w:cs="Calibri" w:ascii="Calibri" w:hAnsi="Calibri"/>
                <w:b/>
                <w:bCs/>
                <w:sz w:val="22"/>
              </w:rPr>
              <w:t>Kvalitní a empatickí zamestnanci</w:t>
            </w:r>
          </w:p>
          <w:p>
            <w:pPr>
              <w:pStyle w:val="Odstavecseseznamem1"/>
              <w:numPr>
                <w:ilvl w:val="0"/>
                <w:numId w:val="10"/>
              </w:numPr>
              <w:spacing w:lineRule="atLeast" w:line="22" w:before="0" w:after="0"/>
              <w:contextualSpacing/>
              <w:jc w:val="both"/>
              <w:rPr/>
            </w:pPr>
            <w:r>
              <w:rPr>
                <w:rFonts w:cs="Calibri" w:ascii="Calibri" w:hAnsi="Calibri"/>
                <w:bCs/>
                <w:sz w:val="22"/>
              </w:rPr>
              <w:t xml:space="preserve">Vzdelaní  a neustále sa vzdelávajúci zamestnanci </w:t>
            </w:r>
          </w:p>
          <w:p>
            <w:pPr>
              <w:pStyle w:val="Odstavecseseznamem1"/>
              <w:numPr>
                <w:ilvl w:val="0"/>
                <w:numId w:val="10"/>
              </w:numPr>
              <w:spacing w:lineRule="atLeast" w:line="22" w:before="0" w:after="0"/>
              <w:contextualSpacing/>
              <w:jc w:val="both"/>
              <w:rPr/>
            </w:pPr>
            <w:r>
              <w:rPr>
                <w:rFonts w:cs="Calibri" w:ascii="Calibri" w:hAnsi="Calibri"/>
                <w:bCs/>
                <w:sz w:val="22"/>
              </w:rPr>
              <w:t>Pracovné zručnosti zamestnancov</w:t>
            </w:r>
          </w:p>
          <w:p>
            <w:pPr>
              <w:pStyle w:val="Odstavecseseznamem1"/>
              <w:numPr>
                <w:ilvl w:val="0"/>
                <w:numId w:val="10"/>
              </w:numPr>
              <w:spacing w:lineRule="atLeast" w:line="22" w:before="0" w:after="0"/>
              <w:contextualSpacing/>
              <w:jc w:val="both"/>
              <w:rPr/>
            </w:pPr>
            <w:r>
              <w:rPr>
                <w:rFonts w:cs="Calibri" w:ascii="Calibri" w:hAnsi="Calibri"/>
                <w:bCs/>
                <w:sz w:val="22"/>
              </w:rPr>
              <w:t>Jasná vízia organizácie</w:t>
            </w:r>
          </w:p>
          <w:p>
            <w:pPr>
              <w:pStyle w:val="Odstavecseseznamem1"/>
              <w:numPr>
                <w:ilvl w:val="0"/>
                <w:numId w:val="10"/>
              </w:numPr>
              <w:spacing w:lineRule="atLeast" w:line="22" w:before="0" w:after="0"/>
              <w:contextualSpacing/>
              <w:jc w:val="both"/>
              <w:rPr/>
            </w:pPr>
            <w:r>
              <w:rPr>
                <w:rFonts w:cs="Calibri" w:ascii="Calibri" w:hAnsi="Calibri"/>
                <w:bCs/>
                <w:sz w:val="22"/>
              </w:rPr>
              <w:t>Skúsenosti s poskytovaním SS</w:t>
            </w:r>
          </w:p>
          <w:p>
            <w:pPr>
              <w:pStyle w:val="Odstavecseseznamem1"/>
              <w:numPr>
                <w:ilvl w:val="0"/>
                <w:numId w:val="10"/>
              </w:numPr>
              <w:spacing w:lineRule="atLeast" w:line="22" w:before="0" w:after="0"/>
              <w:contextualSpacing/>
              <w:jc w:val="both"/>
              <w:rPr/>
            </w:pPr>
            <w:r>
              <w:rPr>
                <w:rFonts w:cs="Calibri" w:ascii="Calibri" w:hAnsi="Calibri"/>
                <w:bCs/>
                <w:sz w:val="22"/>
              </w:rPr>
              <w:t>Motivácia zamestnancov k zmene a skvalitňovaniu služieb</w:t>
            </w:r>
          </w:p>
          <w:p>
            <w:pPr>
              <w:pStyle w:val="Odstavecseseznamem1"/>
              <w:numPr>
                <w:ilvl w:val="0"/>
                <w:numId w:val="10"/>
              </w:numPr>
              <w:spacing w:lineRule="atLeast" w:line="22" w:before="0" w:after="0"/>
              <w:contextualSpacing/>
              <w:jc w:val="both"/>
              <w:rPr/>
            </w:pPr>
            <w:r>
              <w:rPr>
                <w:rFonts w:cs="Calibri" w:ascii="Calibri" w:hAnsi="Calibri"/>
                <w:bCs/>
                <w:sz w:val="22"/>
              </w:rPr>
              <w:t>Kontakty a spolupráca s partnermi mimo organizácie ( Úrad Komisárky pre zdravotne znevýhodnených , SOCIA,  MPSVR SR, MsÚ , OcÚ , sociálne zariadenia v BBSK, NSK, TNSK),</w:t>
            </w:r>
          </w:p>
          <w:p>
            <w:pPr>
              <w:pStyle w:val="Odstavecseseznamem1"/>
              <w:numPr>
                <w:ilvl w:val="0"/>
                <w:numId w:val="10"/>
              </w:numPr>
              <w:spacing w:lineRule="atLeast" w:line="22" w:before="0" w:after="0"/>
              <w:contextualSpacing/>
              <w:jc w:val="both"/>
              <w:rPr/>
            </w:pPr>
            <w:r>
              <w:rPr>
                <w:rFonts w:cs="Calibri" w:ascii="Calibri" w:hAnsi="Calibri"/>
                <w:bCs/>
                <w:sz w:val="22"/>
              </w:rPr>
              <w:t>Skúsenosti s tvorbou a realizáciou projektov</w:t>
            </w:r>
          </w:p>
          <w:p>
            <w:pPr>
              <w:pStyle w:val="Odstavecseseznamem1"/>
              <w:numPr>
                <w:ilvl w:val="0"/>
                <w:numId w:val="10"/>
              </w:numPr>
              <w:spacing w:lineRule="atLeast" w:line="22" w:before="0" w:after="0"/>
              <w:contextualSpacing/>
              <w:jc w:val="both"/>
              <w:rPr/>
            </w:pPr>
            <w:r>
              <w:rPr>
                <w:rFonts w:cs="Calibri" w:ascii="Calibri" w:hAnsi="Calibri"/>
                <w:bCs/>
                <w:sz w:val="22"/>
              </w:rPr>
              <w:t>Skúsenosti s tvorbou projektov cez ŠF EÚ</w:t>
            </w:r>
          </w:p>
          <w:p>
            <w:pPr>
              <w:pStyle w:val="Odstavecseseznamem1"/>
              <w:numPr>
                <w:ilvl w:val="0"/>
                <w:numId w:val="10"/>
              </w:numPr>
              <w:spacing w:lineRule="atLeast" w:line="22" w:before="0" w:after="0"/>
              <w:contextualSpacing/>
              <w:jc w:val="both"/>
              <w:rPr/>
            </w:pPr>
            <w:r>
              <w:rPr>
                <w:rFonts w:cs="Calibri" w:ascii="Calibri" w:hAnsi="Calibri"/>
                <w:bCs/>
                <w:sz w:val="22"/>
              </w:rPr>
              <w:t>Skúsenosti s fungovaním v krízových situáciách</w:t>
            </w:r>
          </w:p>
          <w:p>
            <w:pPr>
              <w:pStyle w:val="Odstavecseseznamem1"/>
              <w:numPr>
                <w:ilvl w:val="0"/>
                <w:numId w:val="10"/>
              </w:numPr>
              <w:spacing w:lineRule="atLeast" w:line="22" w:before="0" w:after="0"/>
              <w:contextualSpacing/>
              <w:jc w:val="both"/>
              <w:rPr/>
            </w:pPr>
            <w:r>
              <w:rPr>
                <w:rFonts w:cs="Calibri" w:ascii="Calibri" w:hAnsi="Calibri"/>
                <w:bCs/>
                <w:sz w:val="22"/>
              </w:rPr>
              <w:t xml:space="preserve">Spolupráca s rodinnými príslušníkmi  na vízii o budúcnosti zariadenia, </w:t>
            </w:r>
          </w:p>
          <w:p>
            <w:pPr>
              <w:pStyle w:val="Odstavecseseznamem1"/>
              <w:numPr>
                <w:ilvl w:val="0"/>
                <w:numId w:val="10"/>
              </w:numPr>
              <w:spacing w:lineRule="atLeast" w:line="22" w:before="0" w:after="0"/>
              <w:contextualSpacing/>
              <w:jc w:val="both"/>
              <w:rPr/>
            </w:pPr>
            <w:r>
              <w:rPr>
                <w:rFonts w:cs="Calibri" w:ascii="Calibri" w:hAnsi="Calibri"/>
                <w:bCs/>
                <w:sz w:val="22"/>
              </w:rPr>
              <w:t>Flexibilita organizácie, pružné reagovanie na aktuálne výzvy</w:t>
            </w:r>
          </w:p>
          <w:p>
            <w:pPr>
              <w:pStyle w:val="Odstavecseseznamem1"/>
              <w:numPr>
                <w:ilvl w:val="0"/>
                <w:numId w:val="10"/>
              </w:numPr>
              <w:spacing w:lineRule="atLeast" w:line="22" w:before="0" w:after="0"/>
              <w:contextualSpacing/>
              <w:jc w:val="both"/>
              <w:rPr/>
            </w:pPr>
            <w:r>
              <w:rPr>
                <w:rFonts w:cs="Calibri" w:ascii="Calibri" w:hAnsi="Calibri"/>
                <w:bCs/>
                <w:sz w:val="22"/>
              </w:rPr>
              <w:t>Partnerský prístup ku prijímateľom</w:t>
            </w:r>
          </w:p>
          <w:p>
            <w:pPr>
              <w:pStyle w:val="Odstavecseseznamem1"/>
              <w:numPr>
                <w:ilvl w:val="0"/>
                <w:numId w:val="10"/>
              </w:numPr>
              <w:spacing w:lineRule="atLeast" w:line="22" w:before="0" w:after="0"/>
              <w:contextualSpacing/>
              <w:jc w:val="both"/>
              <w:rPr/>
            </w:pPr>
            <w:r>
              <w:rPr>
                <w:rFonts w:cs="Calibri" w:ascii="Calibri" w:hAnsi="Calibri"/>
                <w:bCs/>
                <w:sz w:val="22"/>
              </w:rPr>
              <w:t>Silné postavenie prijímateľov v organizácii</w:t>
            </w:r>
          </w:p>
          <w:p>
            <w:pPr>
              <w:pStyle w:val="Odstavecseseznamem1"/>
              <w:numPr>
                <w:ilvl w:val="0"/>
                <w:numId w:val="10"/>
              </w:numPr>
              <w:spacing w:lineRule="atLeast" w:line="22" w:before="0" w:after="0"/>
              <w:contextualSpacing/>
              <w:jc w:val="both"/>
              <w:rPr/>
            </w:pPr>
            <w:r>
              <w:rPr>
                <w:rFonts w:cs="Calibri" w:ascii="Calibri" w:hAnsi="Calibri"/>
                <w:bCs/>
                <w:sz w:val="22"/>
              </w:rPr>
              <w:t xml:space="preserve">Skúsenosti s individuálnou prácou </w:t>
            </w:r>
          </w:p>
          <w:p>
            <w:pPr>
              <w:pStyle w:val="Odstavecseseznamem1"/>
              <w:numPr>
                <w:ilvl w:val="0"/>
                <w:numId w:val="10"/>
              </w:numPr>
              <w:spacing w:lineRule="atLeast" w:line="22" w:before="0" w:after="0"/>
              <w:contextualSpacing/>
              <w:jc w:val="both"/>
              <w:rPr/>
            </w:pPr>
            <w:r>
              <w:rPr>
                <w:rFonts w:cs="Calibri" w:ascii="Calibri" w:hAnsi="Calibri"/>
                <w:bCs/>
                <w:sz w:val="22"/>
              </w:rPr>
              <w:t>Skúsenosti s prácou s dobrovoľníkmi</w:t>
            </w:r>
          </w:p>
          <w:p>
            <w:pPr>
              <w:pStyle w:val="Odstavecseseznamem1"/>
              <w:spacing w:lineRule="atLeast" w:line="22" w:before="0" w:after="0"/>
              <w:ind w:left="394" w:hanging="0"/>
              <w:contextualSpacing/>
              <w:rPr>
                <w:rFonts w:ascii="Calibri" w:hAnsi="Calibri" w:cs="Calibri"/>
                <w:b/>
                <w:b/>
                <w:bCs/>
                <w:sz w:val="22"/>
              </w:rPr>
            </w:pPr>
            <w:r>
              <w:rPr>
                <w:rFonts w:cs="Calibri" w:ascii="Calibri" w:hAnsi="Calibri"/>
                <w:b/>
                <w:bCs/>
                <w:sz w:val="22"/>
              </w:rPr>
            </w:r>
          </w:p>
        </w:tc>
        <w:tc>
          <w:tcPr>
            <w:tcW w:w="4650" w:type="dxa"/>
            <w:tcBorders>
              <w:top w:val="single" w:sz="4" w:space="0" w:color="000000"/>
              <w:left w:val="single" w:sz="4" w:space="0" w:color="000000"/>
              <w:bottom w:val="single" w:sz="4" w:space="0" w:color="000000"/>
              <w:right w:val="single" w:sz="4" w:space="0" w:color="000000"/>
            </w:tcBorders>
            <w:shd w:color="auto" w:fill="auto" w:val="clear"/>
          </w:tcPr>
          <w:p>
            <w:pPr>
              <w:pStyle w:val="Odstavecseseznamem1"/>
              <w:numPr>
                <w:ilvl w:val="0"/>
                <w:numId w:val="10"/>
              </w:numPr>
              <w:spacing w:lineRule="atLeast" w:line="22" w:before="0" w:after="0"/>
              <w:contextualSpacing/>
              <w:jc w:val="both"/>
              <w:rPr/>
            </w:pPr>
            <w:r>
              <w:rPr>
                <w:rFonts w:cs="Calibri" w:ascii="Calibri" w:hAnsi="Calibri"/>
                <w:sz w:val="22"/>
              </w:rPr>
              <w:t>Fyzické prostredie objektov, v ktorých sa poskytujú služby – bariérovosť, veľké skupiny,  viacpočetné izby</w:t>
            </w:r>
          </w:p>
          <w:p>
            <w:pPr>
              <w:pStyle w:val="Odstavecseseznamem1"/>
              <w:numPr>
                <w:ilvl w:val="0"/>
                <w:numId w:val="10"/>
              </w:numPr>
              <w:spacing w:lineRule="atLeast" w:line="22" w:before="0" w:after="0"/>
              <w:contextualSpacing/>
              <w:jc w:val="both"/>
              <w:rPr>
                <w:rFonts w:ascii="Calibri" w:hAnsi="Calibri"/>
                <w:sz w:val="22"/>
              </w:rPr>
            </w:pPr>
            <w:r>
              <w:rPr>
                <w:rFonts w:ascii="Calibri" w:hAnsi="Calibri"/>
                <w:sz w:val="22"/>
              </w:rPr>
              <w:t>Nedostatok súkromia</w:t>
            </w:r>
          </w:p>
          <w:p>
            <w:pPr>
              <w:pStyle w:val="Odstavecseseznamem1"/>
              <w:numPr>
                <w:ilvl w:val="0"/>
                <w:numId w:val="10"/>
              </w:numPr>
              <w:spacing w:lineRule="atLeast" w:line="22" w:before="0" w:after="0"/>
              <w:contextualSpacing/>
              <w:jc w:val="both"/>
              <w:rPr>
                <w:rFonts w:ascii="Calibri" w:hAnsi="Calibri"/>
                <w:sz w:val="22"/>
              </w:rPr>
            </w:pPr>
            <w:r>
              <w:rPr>
                <w:rFonts w:ascii="Calibri" w:hAnsi="Calibri"/>
                <w:sz w:val="22"/>
              </w:rPr>
              <w:t>Prechodné izby</w:t>
            </w:r>
          </w:p>
          <w:p>
            <w:pPr>
              <w:pStyle w:val="Odstavecseseznamem1"/>
              <w:numPr>
                <w:ilvl w:val="0"/>
                <w:numId w:val="10"/>
              </w:numPr>
              <w:spacing w:lineRule="atLeast" w:line="22" w:before="0" w:after="0"/>
              <w:contextualSpacing/>
              <w:jc w:val="both"/>
              <w:rPr>
                <w:rFonts w:ascii="Calibri" w:hAnsi="Calibri"/>
                <w:sz w:val="22"/>
              </w:rPr>
            </w:pPr>
            <w:r>
              <w:rPr>
                <w:rFonts w:ascii="Calibri" w:hAnsi="Calibri"/>
                <w:sz w:val="22"/>
              </w:rPr>
              <w:t>Nepostačujúci osobný priestor PSS</w:t>
            </w:r>
          </w:p>
          <w:p>
            <w:pPr>
              <w:pStyle w:val="Odstavecseseznamem1"/>
              <w:numPr>
                <w:ilvl w:val="0"/>
                <w:numId w:val="10"/>
              </w:numPr>
              <w:spacing w:lineRule="atLeast" w:line="22" w:before="0" w:after="0"/>
              <w:contextualSpacing/>
              <w:jc w:val="both"/>
              <w:rPr>
                <w:rFonts w:ascii="Calibri" w:hAnsi="Calibri"/>
                <w:sz w:val="22"/>
              </w:rPr>
            </w:pPr>
            <w:r>
              <w:rPr>
                <w:rFonts w:ascii="Calibri" w:hAnsi="Calibri"/>
                <w:sz w:val="22"/>
              </w:rPr>
              <w:t>Spoločné hygienické zázemie</w:t>
            </w:r>
          </w:p>
          <w:p>
            <w:pPr>
              <w:pStyle w:val="Odstavecseseznamem1"/>
              <w:numPr>
                <w:ilvl w:val="0"/>
                <w:numId w:val="10"/>
              </w:numPr>
              <w:spacing w:lineRule="atLeast" w:line="22" w:before="0" w:after="0"/>
              <w:contextualSpacing/>
              <w:jc w:val="both"/>
              <w:rPr>
                <w:rFonts w:ascii="Calibri" w:hAnsi="Calibri"/>
                <w:sz w:val="22"/>
              </w:rPr>
            </w:pPr>
            <w:r>
              <w:rPr>
                <w:rFonts w:ascii="Calibri" w:hAnsi="Calibri"/>
                <w:sz w:val="22"/>
              </w:rPr>
              <w:t>Problémy s evakuáciou v prípade živelnej pohromy</w:t>
            </w:r>
          </w:p>
          <w:p>
            <w:pPr>
              <w:pStyle w:val="Odstavecseseznamem1"/>
              <w:numPr>
                <w:ilvl w:val="0"/>
                <w:numId w:val="10"/>
              </w:numPr>
              <w:spacing w:lineRule="atLeast" w:line="22" w:before="0" w:after="0"/>
              <w:contextualSpacing/>
              <w:jc w:val="both"/>
              <w:rPr>
                <w:rFonts w:ascii="Calibri" w:hAnsi="Calibri"/>
                <w:sz w:val="22"/>
              </w:rPr>
            </w:pPr>
            <w:r>
              <w:rPr>
                <w:rFonts w:ascii="Calibri" w:hAnsi="Calibri"/>
                <w:sz w:val="22"/>
              </w:rPr>
              <w:t>Prvky inštitucionálnej starostlivosti</w:t>
            </w:r>
          </w:p>
          <w:p>
            <w:pPr>
              <w:pStyle w:val="Odstavecseseznamem1"/>
              <w:numPr>
                <w:ilvl w:val="0"/>
                <w:numId w:val="10"/>
              </w:numPr>
              <w:spacing w:lineRule="atLeast" w:line="22" w:before="0" w:after="0"/>
              <w:contextualSpacing/>
              <w:jc w:val="both"/>
              <w:rPr>
                <w:rFonts w:ascii="Calibri" w:hAnsi="Calibri"/>
                <w:sz w:val="22"/>
              </w:rPr>
            </w:pPr>
            <w:r>
              <w:rPr>
                <w:rFonts w:ascii="Calibri" w:hAnsi="Calibri"/>
                <w:sz w:val="22"/>
              </w:rPr>
              <w:t>Absencia návštevnej miestnosti</w:t>
            </w:r>
          </w:p>
          <w:p>
            <w:pPr>
              <w:pStyle w:val="Odstavecseseznamem1"/>
              <w:numPr>
                <w:ilvl w:val="0"/>
                <w:numId w:val="10"/>
              </w:numPr>
              <w:spacing w:lineRule="atLeast" w:line="22" w:before="0" w:after="0"/>
              <w:contextualSpacing/>
              <w:jc w:val="both"/>
              <w:rPr>
                <w:rFonts w:ascii="Calibri" w:hAnsi="Calibri"/>
                <w:sz w:val="22"/>
              </w:rPr>
            </w:pPr>
            <w:r>
              <w:rPr>
                <w:rFonts w:ascii="Calibri" w:hAnsi="Calibri"/>
                <w:sz w:val="22"/>
              </w:rPr>
              <w:t>Aktivity sú orientované na podporu do vnútra zariadenia</w:t>
            </w:r>
          </w:p>
          <w:p>
            <w:pPr>
              <w:pStyle w:val="Odstavecseseznamem1"/>
              <w:numPr>
                <w:ilvl w:val="0"/>
                <w:numId w:val="10"/>
              </w:numPr>
              <w:spacing w:lineRule="atLeast" w:line="22" w:before="0" w:after="0"/>
              <w:contextualSpacing/>
              <w:jc w:val="both"/>
              <w:rPr/>
            </w:pPr>
            <w:r>
              <w:rPr>
                <w:rFonts w:cs="Calibri" w:ascii="Calibri" w:hAnsi="Calibri"/>
                <w:sz w:val="22"/>
              </w:rPr>
              <w:t>Nedostatok personálu v zariadení</w:t>
            </w:r>
          </w:p>
          <w:p>
            <w:pPr>
              <w:pStyle w:val="Odstavecseseznamem1"/>
              <w:numPr>
                <w:ilvl w:val="0"/>
                <w:numId w:val="10"/>
              </w:numPr>
              <w:spacing w:lineRule="atLeast" w:line="22" w:before="0" w:after="0"/>
              <w:contextualSpacing/>
              <w:jc w:val="both"/>
              <w:rPr/>
            </w:pPr>
            <w:r>
              <w:rPr>
                <w:rFonts w:cs="Calibri" w:ascii="Calibri" w:hAnsi="Calibri"/>
                <w:sz w:val="22"/>
              </w:rPr>
              <w:t>Málo možností aktivizovať prijímateľov (málo zamestnancov na aktivizovanie a individuálny prístup)</w:t>
            </w:r>
          </w:p>
          <w:p>
            <w:pPr>
              <w:pStyle w:val="Odstavecseseznamem1"/>
              <w:numPr>
                <w:ilvl w:val="0"/>
                <w:numId w:val="10"/>
              </w:numPr>
              <w:spacing w:lineRule="atLeast" w:line="22" w:before="0" w:after="0"/>
              <w:contextualSpacing/>
              <w:jc w:val="both"/>
              <w:rPr/>
            </w:pPr>
            <w:r>
              <w:rPr>
                <w:rFonts w:cs="Calibri" w:ascii="Calibri" w:hAnsi="Calibri"/>
                <w:sz w:val="22"/>
              </w:rPr>
              <w:t xml:space="preserve">Postoje časti verejnosti – laickej i odbornej </w:t>
            </w:r>
          </w:p>
          <w:p>
            <w:pPr>
              <w:pStyle w:val="Odstavecseseznamem1"/>
              <w:numPr>
                <w:ilvl w:val="0"/>
                <w:numId w:val="10"/>
              </w:numPr>
              <w:spacing w:lineRule="atLeast" w:line="22" w:before="0" w:after="0"/>
              <w:contextualSpacing/>
              <w:jc w:val="both"/>
              <w:rPr/>
            </w:pPr>
            <w:r>
              <w:rPr>
                <w:rFonts w:cs="Calibri" w:ascii="Calibri" w:hAnsi="Calibri"/>
                <w:sz w:val="22"/>
              </w:rPr>
              <w:t>Vysoký podiel žien medzi zamestnancami</w:t>
            </w:r>
          </w:p>
          <w:p>
            <w:pPr>
              <w:pStyle w:val="Odstavecseseznamem1"/>
              <w:numPr>
                <w:ilvl w:val="0"/>
                <w:numId w:val="10"/>
              </w:numPr>
              <w:spacing w:lineRule="atLeast" w:line="22" w:before="0" w:after="0"/>
              <w:contextualSpacing/>
              <w:jc w:val="both"/>
              <w:rPr/>
            </w:pPr>
            <w:r>
              <w:rPr>
                <w:rFonts w:cs="Calibri" w:ascii="Calibri" w:hAnsi="Calibri"/>
                <w:sz w:val="22"/>
              </w:rPr>
              <w:t>Financie – nízky rozpočet (financie len na bežné prevádzku)</w:t>
            </w:r>
          </w:p>
          <w:p>
            <w:pPr>
              <w:pStyle w:val="Odstavecseseznamem1"/>
              <w:numPr>
                <w:ilvl w:val="0"/>
                <w:numId w:val="10"/>
              </w:numPr>
              <w:spacing w:lineRule="atLeast" w:line="22" w:before="0" w:after="0"/>
              <w:contextualSpacing/>
              <w:jc w:val="both"/>
              <w:rPr/>
            </w:pPr>
            <w:r>
              <w:rPr>
                <w:rFonts w:cs="Calibri" w:ascii="Calibri" w:hAnsi="Calibri"/>
                <w:sz w:val="22"/>
              </w:rPr>
              <w:t>Ochranársky postoj príbuzných aj niektorých zamestnancov</w:t>
            </w:r>
          </w:p>
          <w:p>
            <w:pPr>
              <w:pStyle w:val="Odstavecseseznamem1"/>
              <w:numPr>
                <w:ilvl w:val="0"/>
                <w:numId w:val="10"/>
              </w:numPr>
              <w:spacing w:lineRule="atLeast" w:line="22" w:before="0" w:after="0"/>
              <w:contextualSpacing/>
              <w:jc w:val="both"/>
              <w:rPr/>
            </w:pPr>
            <w:r>
              <w:rPr>
                <w:rFonts w:cs="Calibri" w:ascii="Calibri" w:hAnsi="Calibri"/>
                <w:sz w:val="22"/>
              </w:rPr>
              <w:t xml:space="preserve">Nestotožnenie sa </w:t>
            </w:r>
            <w:r>
              <w:rPr>
                <w:rFonts w:cs="Calibri" w:ascii="Calibri" w:hAnsi="Calibri"/>
                <w:b/>
                <w:sz w:val="22"/>
              </w:rPr>
              <w:t>niektorých zamestnancov</w:t>
            </w:r>
            <w:r>
              <w:rPr>
                <w:rFonts w:cs="Calibri" w:ascii="Calibri" w:hAnsi="Calibri"/>
                <w:sz w:val="22"/>
              </w:rPr>
              <w:t xml:space="preserve"> s víziou a filozofiou transformácie sociálnych služieb a s projektom deinštitucionalizácie</w:t>
            </w:r>
          </w:p>
          <w:p>
            <w:pPr>
              <w:pStyle w:val="Odstavecseseznamem1"/>
              <w:numPr>
                <w:ilvl w:val="0"/>
                <w:numId w:val="10"/>
              </w:numPr>
              <w:spacing w:lineRule="atLeast" w:line="22" w:before="0" w:after="0"/>
              <w:contextualSpacing/>
              <w:jc w:val="both"/>
              <w:rPr/>
            </w:pPr>
            <w:r>
              <w:rPr>
                <w:rFonts w:cs="Calibri" w:ascii="Calibri" w:hAnsi="Calibri"/>
                <w:sz w:val="22"/>
              </w:rPr>
              <w:t>(rutinné zotrvávanie na poskytovaní tradičných sociálnych služieb a lipnutie na minulosti)</w:t>
            </w:r>
          </w:p>
          <w:p>
            <w:pPr>
              <w:pStyle w:val="Odstavecseseznamem1"/>
              <w:numPr>
                <w:ilvl w:val="0"/>
                <w:numId w:val="10"/>
              </w:numPr>
              <w:spacing w:lineRule="atLeast" w:line="22" w:before="0" w:after="0"/>
              <w:contextualSpacing/>
              <w:jc w:val="both"/>
              <w:rPr/>
            </w:pPr>
            <w:r>
              <w:rPr>
                <w:rFonts w:cs="Calibri" w:ascii="Calibri" w:hAnsi="Calibri"/>
                <w:bCs/>
                <w:sz w:val="22"/>
              </w:rPr>
              <w:t>Verejná podpora (médiá, občania..)</w:t>
            </w:r>
          </w:p>
          <w:p>
            <w:pPr>
              <w:pStyle w:val="Odstavecseseznamem1"/>
              <w:spacing w:lineRule="atLeast" w:line="22" w:before="0" w:after="0"/>
              <w:ind w:left="394" w:hanging="0"/>
              <w:contextualSpacing/>
              <w:jc w:val="both"/>
              <w:rPr>
                <w:rFonts w:ascii="Calibri" w:hAnsi="Calibri" w:cs="Calibri"/>
                <w:b/>
                <w:b/>
                <w:bCs/>
                <w:sz w:val="22"/>
              </w:rPr>
            </w:pPr>
            <w:r>
              <w:rPr>
                <w:rFonts w:cs="Calibri" w:ascii="Calibri" w:hAnsi="Calibri"/>
                <w:b/>
                <w:bCs/>
                <w:sz w:val="22"/>
              </w:rPr>
            </w:r>
          </w:p>
        </w:tc>
      </w:tr>
      <w:tr>
        <w:trPr>
          <w:trHeight w:val="562" w:hRule="atLeast"/>
        </w:trPr>
        <w:tc>
          <w:tcPr>
            <w:tcW w:w="4601" w:type="dxa"/>
            <w:tcBorders>
              <w:top w:val="single" w:sz="4" w:space="0" w:color="000000"/>
              <w:left w:val="single" w:sz="4" w:space="0" w:color="000000"/>
              <w:bottom w:val="single" w:sz="4" w:space="0" w:color="000000"/>
              <w:right w:val="single" w:sz="4" w:space="0" w:color="000000"/>
            </w:tcBorders>
            <w:shd w:color="auto" w:fill="37CBFF" w:val="clear"/>
            <w:vAlign w:val="center"/>
          </w:tcPr>
          <w:p>
            <w:pPr>
              <w:pStyle w:val="Odstavecseseznamem1"/>
              <w:spacing w:lineRule="atLeast" w:line="22" w:before="0" w:after="200"/>
              <w:ind w:left="0" w:hanging="0"/>
              <w:contextualSpacing/>
              <w:jc w:val="center"/>
              <w:rPr/>
            </w:pPr>
            <w:r>
              <w:rPr>
                <w:rFonts w:cs="Calibri" w:ascii="Calibri" w:hAnsi="Calibri"/>
                <w:b/>
                <w:bCs/>
                <w:sz w:val="22"/>
              </w:rPr>
              <w:t>PRÍLEŽITOSTI</w:t>
            </w:r>
          </w:p>
        </w:tc>
        <w:tc>
          <w:tcPr>
            <w:tcW w:w="4650" w:type="dxa"/>
            <w:tcBorders>
              <w:top w:val="single" w:sz="4" w:space="0" w:color="000000"/>
              <w:left w:val="single" w:sz="4" w:space="0" w:color="000000"/>
              <w:bottom w:val="single" w:sz="4" w:space="0" w:color="000000"/>
              <w:right w:val="single" w:sz="4" w:space="0" w:color="000000"/>
            </w:tcBorders>
            <w:shd w:color="auto" w:fill="37CBFF" w:val="clear"/>
            <w:vAlign w:val="center"/>
          </w:tcPr>
          <w:p>
            <w:pPr>
              <w:pStyle w:val="Odstavecseseznamem1"/>
              <w:spacing w:lineRule="atLeast" w:line="22"/>
              <w:ind w:left="0" w:hanging="0"/>
              <w:jc w:val="center"/>
              <w:rPr>
                <w:rFonts w:ascii="Calibri" w:hAnsi="Calibri" w:cs="Calibri"/>
                <w:b/>
                <w:b/>
                <w:sz w:val="22"/>
              </w:rPr>
            </w:pPr>
            <w:r>
              <w:rPr>
                <w:rFonts w:cs="Calibri" w:ascii="Calibri" w:hAnsi="Calibri"/>
                <w:b/>
                <w:sz w:val="22"/>
              </w:rPr>
            </w:r>
          </w:p>
          <w:p>
            <w:pPr>
              <w:pStyle w:val="Odstavecseseznamem1"/>
              <w:spacing w:lineRule="atLeast" w:line="22" w:before="0" w:after="200"/>
              <w:ind w:left="0" w:hanging="0"/>
              <w:contextualSpacing/>
              <w:jc w:val="center"/>
              <w:rPr/>
            </w:pPr>
            <w:r>
              <w:rPr>
                <w:rFonts w:cs="Calibri" w:ascii="Calibri" w:hAnsi="Calibri"/>
                <w:b/>
                <w:sz w:val="22"/>
              </w:rPr>
              <w:t>OHROZENIA</w:t>
            </w:r>
          </w:p>
        </w:tc>
      </w:tr>
      <w:tr>
        <w:trPr>
          <w:trHeight w:val="70" w:hRule="atLeast"/>
        </w:trPr>
        <w:tc>
          <w:tcPr>
            <w:tcW w:w="4601" w:type="dxa"/>
            <w:tcBorders>
              <w:top w:val="single" w:sz="4" w:space="0" w:color="000000"/>
              <w:left w:val="single" w:sz="4" w:space="0" w:color="000000"/>
              <w:bottom w:val="single" w:sz="4" w:space="0" w:color="000000"/>
              <w:right w:val="single" w:sz="4" w:space="0" w:color="000000"/>
            </w:tcBorders>
            <w:shd w:color="auto" w:fill="auto" w:val="clear"/>
          </w:tcPr>
          <w:p>
            <w:pPr>
              <w:pStyle w:val="Odstavecseseznamem1"/>
              <w:numPr>
                <w:ilvl w:val="0"/>
                <w:numId w:val="10"/>
              </w:numPr>
              <w:spacing w:lineRule="atLeast" w:line="22" w:before="0" w:after="0"/>
              <w:contextualSpacing/>
              <w:rPr/>
            </w:pPr>
            <w:r>
              <w:rPr>
                <w:rFonts w:cs="Calibri" w:ascii="Calibri" w:hAnsi="Calibri"/>
                <w:bCs/>
                <w:sz w:val="22"/>
              </w:rPr>
              <w:t>Zapojenie sa do NP DI (informácie, získať možnosť príkladov dobrej praxe zo zahraničia – služobné cesty, spolupráca s externými odborníkmi, napr. architektmi, finančné  zdroje na komunitné aktivity)</w:t>
            </w:r>
          </w:p>
          <w:p>
            <w:pPr>
              <w:pStyle w:val="Odstavecseseznamem1"/>
              <w:numPr>
                <w:ilvl w:val="0"/>
                <w:numId w:val="10"/>
              </w:numPr>
              <w:spacing w:lineRule="atLeast" w:line="22" w:before="0" w:after="0"/>
              <w:contextualSpacing/>
              <w:rPr/>
            </w:pPr>
            <w:r>
              <w:rPr>
                <w:rFonts w:cs="Calibri" w:ascii="Calibri" w:hAnsi="Calibri"/>
                <w:bCs/>
                <w:sz w:val="22"/>
              </w:rPr>
              <w:t>Vytvorenie efektívneho systému komunitných sociálnych služieb</w:t>
            </w:r>
          </w:p>
          <w:p>
            <w:pPr>
              <w:pStyle w:val="Odstavecseseznamem1"/>
              <w:numPr>
                <w:ilvl w:val="0"/>
                <w:numId w:val="10"/>
              </w:numPr>
              <w:spacing w:lineRule="atLeast" w:line="22" w:before="0" w:after="0"/>
              <w:contextualSpacing/>
              <w:rPr/>
            </w:pPr>
            <w:r>
              <w:rPr>
                <w:rFonts w:cs="Calibri" w:ascii="Calibri" w:hAnsi="Calibri"/>
                <w:bCs/>
                <w:sz w:val="22"/>
              </w:rPr>
              <w:t>Spolupráca s partnermi (SOCIA, OcÚ, POS, ÚPSVaR, zariadenia SS v kraji)</w:t>
            </w:r>
          </w:p>
          <w:p>
            <w:pPr>
              <w:pStyle w:val="Odstavecseseznamem1"/>
              <w:numPr>
                <w:ilvl w:val="0"/>
                <w:numId w:val="10"/>
              </w:numPr>
              <w:spacing w:lineRule="atLeast" w:line="22" w:before="0" w:after="0"/>
              <w:contextualSpacing/>
              <w:rPr/>
            </w:pPr>
            <w:r>
              <w:rPr>
                <w:rFonts w:cs="Calibri" w:ascii="Calibri" w:hAnsi="Calibri"/>
                <w:bCs/>
                <w:sz w:val="22"/>
              </w:rPr>
              <w:t>RIUS, čerpanie investičných finančných zdrojov zo ŠF EÚ</w:t>
            </w:r>
          </w:p>
          <w:p>
            <w:pPr>
              <w:pStyle w:val="Odstavecseseznamem1"/>
              <w:numPr>
                <w:ilvl w:val="0"/>
                <w:numId w:val="10"/>
              </w:numPr>
              <w:spacing w:lineRule="atLeast" w:line="22" w:before="0" w:after="0"/>
              <w:contextualSpacing/>
              <w:rPr/>
            </w:pPr>
            <w:r>
              <w:rPr>
                <w:rFonts w:cs="Calibri" w:ascii="Calibri" w:hAnsi="Calibri"/>
                <w:bCs/>
                <w:sz w:val="22"/>
              </w:rPr>
              <w:t>Vytvorenie priestoru na vznik nových služieb, ktoré budú napĺňať individuálne potreby klientov</w:t>
            </w:r>
          </w:p>
          <w:p>
            <w:pPr>
              <w:pStyle w:val="Odstavecseseznamem1"/>
              <w:numPr>
                <w:ilvl w:val="0"/>
                <w:numId w:val="10"/>
              </w:numPr>
              <w:spacing w:lineRule="atLeast" w:line="22" w:before="0" w:after="0"/>
              <w:contextualSpacing/>
              <w:rPr/>
            </w:pPr>
            <w:r>
              <w:rPr>
                <w:rFonts w:cs="Calibri" w:ascii="Calibri" w:hAnsi="Calibri"/>
                <w:bCs/>
                <w:sz w:val="22"/>
              </w:rPr>
              <w:t>Vytvorenie nových pracovných miest</w:t>
            </w:r>
          </w:p>
          <w:p>
            <w:pPr>
              <w:pStyle w:val="Odstavecseseznamem1"/>
              <w:numPr>
                <w:ilvl w:val="0"/>
                <w:numId w:val="10"/>
              </w:numPr>
              <w:spacing w:lineRule="atLeast" w:line="22" w:before="0" w:after="0"/>
              <w:contextualSpacing/>
              <w:rPr/>
            </w:pPr>
            <w:r>
              <w:rPr>
                <w:rFonts w:cs="Calibri" w:ascii="Calibri" w:hAnsi="Calibri"/>
                <w:bCs/>
                <w:sz w:val="22"/>
              </w:rPr>
              <w:t>Legislatíva a strategické materiály SR</w:t>
            </w:r>
          </w:p>
          <w:p>
            <w:pPr>
              <w:pStyle w:val="Odstavecseseznamem1"/>
              <w:numPr>
                <w:ilvl w:val="0"/>
                <w:numId w:val="10"/>
              </w:numPr>
              <w:spacing w:lineRule="atLeast" w:line="22" w:before="0" w:after="0"/>
              <w:contextualSpacing/>
              <w:rPr/>
            </w:pPr>
            <w:r>
              <w:rPr>
                <w:rFonts w:cs="Calibri" w:ascii="Calibri" w:hAnsi="Calibri"/>
                <w:bCs/>
                <w:sz w:val="22"/>
              </w:rPr>
              <w:t>Postoj EÚ k téme DI</w:t>
            </w:r>
          </w:p>
          <w:p>
            <w:pPr>
              <w:pStyle w:val="Odstavecseseznamem1"/>
              <w:numPr>
                <w:ilvl w:val="0"/>
                <w:numId w:val="10"/>
              </w:numPr>
              <w:spacing w:lineRule="atLeast" w:line="22" w:before="0" w:after="0"/>
              <w:contextualSpacing/>
              <w:rPr/>
            </w:pPr>
            <w:r>
              <w:rPr>
                <w:rFonts w:cs="Calibri" w:ascii="Calibri" w:hAnsi="Calibri"/>
                <w:bCs/>
                <w:sz w:val="22"/>
              </w:rPr>
              <w:t>Pokúsiť sa o vrátenie spôsobilosti na právne úkony  niektorým  PSS</w:t>
            </w:r>
          </w:p>
          <w:p>
            <w:pPr>
              <w:pStyle w:val="Odstavecseseznamem1"/>
              <w:numPr>
                <w:ilvl w:val="0"/>
                <w:numId w:val="10"/>
              </w:numPr>
              <w:spacing w:lineRule="atLeast" w:line="22" w:before="0" w:after="0"/>
              <w:contextualSpacing/>
              <w:rPr/>
            </w:pPr>
            <w:r>
              <w:rPr>
                <w:rFonts w:cs="Calibri" w:ascii="Calibri" w:hAnsi="Calibri"/>
                <w:bCs/>
                <w:sz w:val="22"/>
              </w:rPr>
              <w:t>Sebaobhajoba prijímateľov</w:t>
            </w:r>
          </w:p>
          <w:p>
            <w:pPr>
              <w:pStyle w:val="Odstavecseseznamem1"/>
              <w:numPr>
                <w:ilvl w:val="0"/>
                <w:numId w:val="10"/>
              </w:numPr>
              <w:spacing w:lineRule="atLeast" w:line="22" w:before="0" w:after="0"/>
              <w:contextualSpacing/>
              <w:rPr/>
            </w:pPr>
            <w:r>
              <w:rPr>
                <w:rFonts w:cs="Calibri" w:ascii="Calibri" w:hAnsi="Calibri"/>
                <w:bCs/>
                <w:sz w:val="22"/>
              </w:rPr>
              <w:t>Byť príkladom dobrej praxe</w:t>
            </w:r>
          </w:p>
          <w:p>
            <w:pPr>
              <w:pStyle w:val="Odstavecseseznamem1"/>
              <w:spacing w:lineRule="atLeast" w:line="22" w:before="0" w:after="0"/>
              <w:ind w:left="0" w:hanging="0"/>
              <w:contextualSpacing/>
              <w:rPr>
                <w:rFonts w:ascii="Calibri" w:hAnsi="Calibri" w:cs="Calibri"/>
                <w:b/>
                <w:b/>
                <w:bCs/>
                <w:sz w:val="22"/>
              </w:rPr>
            </w:pPr>
            <w:r>
              <w:rPr>
                <w:rFonts w:cs="Calibri" w:ascii="Calibri" w:hAnsi="Calibri"/>
                <w:b/>
                <w:bCs/>
                <w:sz w:val="22"/>
              </w:rPr>
            </w:r>
          </w:p>
          <w:p>
            <w:pPr>
              <w:pStyle w:val="Odstavecseseznamem1"/>
              <w:spacing w:lineRule="atLeast" w:line="22" w:before="0" w:after="0"/>
              <w:ind w:left="0" w:hanging="0"/>
              <w:contextualSpacing/>
              <w:rPr>
                <w:rFonts w:ascii="Calibri" w:hAnsi="Calibri" w:cs="Calibri"/>
                <w:b/>
                <w:b/>
                <w:bCs/>
                <w:sz w:val="22"/>
              </w:rPr>
            </w:pPr>
            <w:r>
              <w:rPr>
                <w:rFonts w:cs="Calibri" w:ascii="Calibri" w:hAnsi="Calibri"/>
                <w:b/>
                <w:bCs/>
                <w:sz w:val="22"/>
              </w:rPr>
            </w:r>
          </w:p>
        </w:tc>
        <w:tc>
          <w:tcPr>
            <w:tcW w:w="4650" w:type="dxa"/>
            <w:tcBorders>
              <w:top w:val="single" w:sz="4" w:space="0" w:color="000000"/>
              <w:left w:val="single" w:sz="4" w:space="0" w:color="000000"/>
              <w:bottom w:val="single" w:sz="4" w:space="0" w:color="000000"/>
              <w:right w:val="single" w:sz="4" w:space="0" w:color="000000"/>
            </w:tcBorders>
            <w:shd w:color="auto" w:fill="auto" w:val="clear"/>
          </w:tcPr>
          <w:p>
            <w:pPr>
              <w:pStyle w:val="Odstavecseseznamem1"/>
              <w:numPr>
                <w:ilvl w:val="0"/>
                <w:numId w:val="10"/>
              </w:numPr>
              <w:spacing w:lineRule="atLeast" w:line="22" w:before="0" w:after="0"/>
              <w:contextualSpacing/>
              <w:rPr/>
            </w:pPr>
            <w:r>
              <w:rPr>
                <w:rFonts w:cs="Calibri" w:ascii="Calibri" w:hAnsi="Calibri"/>
                <w:sz w:val="22"/>
              </w:rPr>
              <w:t>Málo času na prípravu systémovej zmeny</w:t>
            </w:r>
          </w:p>
          <w:p>
            <w:pPr>
              <w:pStyle w:val="Odstavecseseznamem1"/>
              <w:numPr>
                <w:ilvl w:val="0"/>
                <w:numId w:val="10"/>
              </w:numPr>
              <w:spacing w:lineRule="atLeast" w:line="22" w:before="0" w:after="0"/>
              <w:contextualSpacing/>
              <w:rPr/>
            </w:pPr>
            <w:r>
              <w:rPr>
                <w:rFonts w:cs="Calibri" w:ascii="Calibri" w:hAnsi="Calibri"/>
                <w:sz w:val="22"/>
              </w:rPr>
              <w:t>Zapojenie sa do NP DI (vyčerpanie a demotivácia zamestnancov, časová náročnosť aktivít projektu)</w:t>
            </w:r>
          </w:p>
          <w:p>
            <w:pPr>
              <w:pStyle w:val="Odstavecseseznamem1"/>
              <w:numPr>
                <w:ilvl w:val="0"/>
                <w:numId w:val="10"/>
              </w:numPr>
              <w:spacing w:lineRule="atLeast" w:line="22" w:before="0" w:after="0"/>
              <w:contextualSpacing/>
              <w:rPr/>
            </w:pPr>
            <w:r>
              <w:rPr>
                <w:rFonts w:cs="Calibri" w:ascii="Calibri" w:hAnsi="Calibri"/>
                <w:sz w:val="22"/>
              </w:rPr>
              <w:t>Legislatíva a jej výklad v praxi</w:t>
            </w:r>
          </w:p>
          <w:p>
            <w:pPr>
              <w:pStyle w:val="Odstavecseseznamem1"/>
              <w:numPr>
                <w:ilvl w:val="0"/>
                <w:numId w:val="10"/>
              </w:numPr>
              <w:spacing w:lineRule="atLeast" w:line="22" w:before="0" w:after="0"/>
              <w:contextualSpacing/>
              <w:rPr/>
            </w:pPr>
            <w:r>
              <w:rPr>
                <w:rFonts w:cs="Calibri" w:ascii="Calibri" w:hAnsi="Calibri"/>
                <w:sz w:val="22"/>
              </w:rPr>
              <w:t>Vysoký počet prijímateľov je zbavený spôsobilosti na právne úkony</w:t>
            </w:r>
          </w:p>
          <w:p>
            <w:pPr>
              <w:pStyle w:val="Odstavecseseznamem1"/>
              <w:numPr>
                <w:ilvl w:val="0"/>
                <w:numId w:val="10"/>
              </w:numPr>
              <w:spacing w:lineRule="atLeast" w:line="22" w:before="0" w:after="0"/>
              <w:contextualSpacing/>
              <w:rPr/>
            </w:pPr>
            <w:r>
              <w:rPr>
                <w:rFonts w:cs="Calibri" w:ascii="Calibri" w:hAnsi="Calibri"/>
                <w:sz w:val="22"/>
              </w:rPr>
              <w:t>% vyjadrenie nespôsobilých  na právne úkony</w:t>
            </w:r>
          </w:p>
          <w:p>
            <w:pPr>
              <w:pStyle w:val="Odstavecseseznamem1"/>
              <w:numPr>
                <w:ilvl w:val="0"/>
                <w:numId w:val="10"/>
              </w:numPr>
              <w:spacing w:lineRule="atLeast" w:line="22" w:before="0" w:after="0"/>
              <w:contextualSpacing/>
              <w:rPr/>
            </w:pPr>
            <w:r>
              <w:rPr>
                <w:rFonts w:cs="Calibri" w:ascii="Calibri" w:hAnsi="Calibri"/>
                <w:sz w:val="22"/>
              </w:rPr>
              <w:t>Neústretovosť a znemožňovanie aktivít DI za predchádzajúceho vedenia BBSK</w:t>
            </w:r>
          </w:p>
          <w:p>
            <w:pPr>
              <w:pStyle w:val="Odstavecseseznamem1"/>
              <w:numPr>
                <w:ilvl w:val="0"/>
                <w:numId w:val="10"/>
              </w:numPr>
              <w:spacing w:lineRule="atLeast" w:line="22" w:before="0" w:after="0"/>
              <w:contextualSpacing/>
              <w:rPr/>
            </w:pPr>
            <w:r>
              <w:rPr>
                <w:rFonts w:cs="Calibri" w:ascii="Calibri" w:hAnsi="Calibri"/>
                <w:sz w:val="22"/>
              </w:rPr>
              <w:t xml:space="preserve">Časté personálne zmeny u zriaďovateľa a s tým súvisiace postoje či nedostatok informácií o transformačnom procese </w:t>
            </w:r>
          </w:p>
          <w:p>
            <w:pPr>
              <w:pStyle w:val="Odstavecseseznamem1"/>
              <w:numPr>
                <w:ilvl w:val="0"/>
                <w:numId w:val="10"/>
              </w:numPr>
              <w:spacing w:lineRule="atLeast" w:line="22" w:before="0" w:after="0"/>
              <w:contextualSpacing/>
              <w:rPr/>
            </w:pPr>
            <w:r>
              <w:rPr>
                <w:rFonts w:cs="Calibri" w:ascii="Calibri" w:hAnsi="Calibri"/>
                <w:sz w:val="22"/>
              </w:rPr>
              <w:t>Financovanie – nejasné financovanie komunitných služieb</w:t>
            </w:r>
          </w:p>
          <w:p>
            <w:pPr>
              <w:pStyle w:val="Odstavecseseznamem1"/>
              <w:numPr>
                <w:ilvl w:val="0"/>
                <w:numId w:val="10"/>
              </w:numPr>
              <w:spacing w:lineRule="atLeast" w:line="22" w:before="0" w:after="0"/>
              <w:contextualSpacing/>
              <w:rPr/>
            </w:pPr>
            <w:r>
              <w:rPr>
                <w:rFonts w:cs="Calibri" w:ascii="Calibri" w:hAnsi="Calibri"/>
                <w:sz w:val="22"/>
              </w:rPr>
              <w:t>Meškanie výziev na projekty ŠF EÚ – nedostatok  času na tvorbu projektu a ďalšie aktivity VO, samotná realizácia a pod.</w:t>
            </w:r>
          </w:p>
          <w:p>
            <w:pPr>
              <w:pStyle w:val="Odstavecseseznamem1"/>
              <w:numPr>
                <w:ilvl w:val="0"/>
                <w:numId w:val="10"/>
              </w:numPr>
              <w:spacing w:lineRule="atLeast" w:line="22" w:before="0" w:after="0"/>
              <w:contextualSpacing/>
              <w:rPr/>
            </w:pPr>
            <w:r>
              <w:rPr>
                <w:rFonts w:cs="Calibri" w:ascii="Calibri" w:hAnsi="Calibri"/>
                <w:sz w:val="22"/>
              </w:rPr>
              <w:t xml:space="preserve">Nezáujem o zamestnanie  PSS v regióne – málo možností na  ich zamestnanie </w:t>
            </w:r>
          </w:p>
          <w:p>
            <w:pPr>
              <w:pStyle w:val="Odstavecseseznamem1"/>
              <w:numPr>
                <w:ilvl w:val="0"/>
                <w:numId w:val="10"/>
              </w:numPr>
              <w:spacing w:lineRule="atLeast" w:line="22" w:before="0" w:after="0"/>
              <w:contextualSpacing/>
              <w:rPr/>
            </w:pPr>
            <w:r>
              <w:rPr>
                <w:rFonts w:cs="Calibri" w:ascii="Calibri" w:hAnsi="Calibri"/>
                <w:sz w:val="22"/>
              </w:rPr>
              <w:t>Postoje rodinných príslušníkov</w:t>
            </w:r>
          </w:p>
          <w:p>
            <w:pPr>
              <w:pStyle w:val="Odstavecseseznamem1"/>
              <w:numPr>
                <w:ilvl w:val="0"/>
                <w:numId w:val="10"/>
              </w:numPr>
              <w:spacing w:lineRule="atLeast" w:line="22" w:before="0" w:after="0"/>
              <w:contextualSpacing/>
              <w:rPr/>
            </w:pPr>
            <w:r>
              <w:rPr>
                <w:rFonts w:cs="Calibri" w:ascii="Calibri" w:hAnsi="Calibri"/>
                <w:sz w:val="22"/>
              </w:rPr>
              <w:t>Starnutie, zhoršovanie zdravotného stavu prijímateľov</w:t>
            </w:r>
          </w:p>
          <w:p>
            <w:pPr>
              <w:pStyle w:val="Odstavecseseznamem1"/>
              <w:numPr>
                <w:ilvl w:val="0"/>
                <w:numId w:val="10"/>
              </w:numPr>
              <w:spacing w:lineRule="atLeast" w:line="22" w:before="0" w:after="0"/>
              <w:contextualSpacing/>
              <w:rPr/>
            </w:pPr>
            <w:r>
              <w:rPr>
                <w:rFonts w:cs="Calibri" w:ascii="Calibri" w:hAnsi="Calibri"/>
                <w:sz w:val="22"/>
              </w:rPr>
              <w:t>Nízke dôchodky PSS, ohrozenie chudobou a nemožnosť platiť úhradu za služby v adekvátnej výške</w:t>
            </w:r>
          </w:p>
          <w:p>
            <w:pPr>
              <w:pStyle w:val="Odstavecseseznamem1"/>
              <w:numPr>
                <w:ilvl w:val="0"/>
                <w:numId w:val="10"/>
              </w:numPr>
              <w:spacing w:lineRule="atLeast" w:line="22" w:before="0" w:after="0"/>
              <w:contextualSpacing/>
              <w:jc w:val="both"/>
              <w:rPr/>
            </w:pPr>
            <w:r>
              <w:rPr>
                <w:rFonts w:cs="Calibri" w:ascii="Calibri" w:hAnsi="Calibri"/>
                <w:sz w:val="22"/>
              </w:rPr>
              <w:t xml:space="preserve">Nesystémové a dlhé obdobie transformácie (ekon. nákladnosť, demotivácia zamestnancov </w:t>
            </w:r>
          </w:p>
        </w:tc>
      </w:tr>
    </w:tbl>
    <w:p>
      <w:pPr>
        <w:pStyle w:val="Odstavecseseznamem1"/>
        <w:spacing w:lineRule="atLeast" w:line="22"/>
        <w:ind w:left="-142" w:hanging="0"/>
        <w:rPr>
          <w:sz w:val="22"/>
        </w:rPr>
      </w:pPr>
      <w:r>
        <w:rPr>
          <w:sz w:val="22"/>
        </w:rPr>
        <w:t>Tabuľka 6 SWOT analýza zariadenia</w:t>
      </w:r>
    </w:p>
    <w:p>
      <w:pPr>
        <w:pStyle w:val="Nadpis21"/>
        <w:ind w:left="1070" w:hanging="360"/>
        <w:rPr/>
      </w:pPr>
      <w:bookmarkStart w:id="11" w:name="_Toc71021260"/>
      <w:r>
        <w:rPr/>
        <w:t>2.7. Práca s rodinnými príslušníkmi</w:t>
      </w:r>
      <w:bookmarkEnd w:id="11"/>
    </w:p>
    <w:p>
      <w:pPr>
        <w:pStyle w:val="Normal"/>
        <w:spacing w:before="0" w:after="0"/>
        <w:contextualSpacing/>
        <w:jc w:val="both"/>
        <w:rPr>
          <w:sz w:val="22"/>
        </w:rPr>
      </w:pPr>
      <w:r>
        <w:rPr>
          <w:sz w:val="22"/>
        </w:rPr>
        <w:t xml:space="preserve">Domov sociálnych služieb Ladomerská Vieska poskytuje služby dospelým mužom s duševnými poruchami a poruchami správania.  S rodinami prijímateľov sa  dlhodobo spolupracuje na prijateľnej úrovni, s niektorými príbuznými  intenzívne na týždennej báze, s inými podľa potreby a len v ojedinelých prípadoch  je komunikácia takmer nulová, najmä z dôvodu, že nemajú už blízkych príbuzných  a širšia rodina nejaví veľký záujem o svojich príbuzných. Vždy v predvianočnom čase organizujeme stretnutie PSS, zamestnancov a rodinných príslušníkov a tiež ich pozývame na </w:t>
      </w:r>
      <w:r>
        <w:rPr>
          <w:i/>
          <w:sz w:val="22"/>
        </w:rPr>
        <w:t>Deň otvorených dverí, Benefičný koncert Na krídlach anjelov, a iné integračné  podujatia – napr. Ladomerský anjel,</w:t>
      </w:r>
      <w:r>
        <w:rPr>
          <w:sz w:val="22"/>
        </w:rPr>
        <w:t xml:space="preserve"> ktoré zariadenie realizuje v dvojročných intervaloch – športové a kultúrne disciplíny sa striedajú.   Návštevy príbuzných nie sú počas roka nijako obmedzované, keďže zariadenie je otvorené denne pre všetky návštevy, teda aj príbuzných počas celého dňa.   DSS nemá striktne určené návštevné hodiny. </w:t>
      </w:r>
    </w:p>
    <w:p>
      <w:pPr>
        <w:pStyle w:val="Normal"/>
        <w:spacing w:lineRule="atLeast" w:line="22" w:before="0" w:after="0"/>
        <w:contextualSpacing/>
        <w:jc w:val="both"/>
        <w:rPr>
          <w:rFonts w:ascii="Calibri" w:hAnsi="Calibri" w:cs="Calibri"/>
          <w:sz w:val="22"/>
        </w:rPr>
      </w:pPr>
      <w:r>
        <w:rPr>
          <w:rFonts w:cs="Calibri" w:ascii="Calibri" w:hAnsi="Calibri"/>
          <w:sz w:val="22"/>
        </w:rPr>
      </w:r>
    </w:p>
    <w:tbl>
      <w:tblPr>
        <w:tblW w:w="8974" w:type="dxa"/>
        <w:jc w:val="center"/>
        <w:tblInd w:w="0" w:type="dxa"/>
        <w:tblCellMar>
          <w:top w:w="0" w:type="dxa"/>
          <w:left w:w="108" w:type="dxa"/>
          <w:bottom w:w="0" w:type="dxa"/>
          <w:right w:w="108" w:type="dxa"/>
        </w:tblCellMar>
        <w:tblLook w:val="04a0"/>
      </w:tblPr>
      <w:tblGrid>
        <w:gridCol w:w="1843"/>
        <w:gridCol w:w="2267"/>
        <w:gridCol w:w="2056"/>
        <w:gridCol w:w="1315"/>
        <w:gridCol w:w="1493"/>
      </w:tblGrid>
      <w:tr>
        <w:trPr/>
        <w:tc>
          <w:tcPr>
            <w:tcW w:w="1843" w:type="dxa"/>
            <w:vMerge w:val="restart"/>
            <w:tcBorders>
              <w:top w:val="single" w:sz="4" w:space="0" w:color="000000"/>
              <w:left w:val="single" w:sz="4" w:space="0" w:color="000000"/>
              <w:right w:val="single" w:sz="4" w:space="0" w:color="000000"/>
            </w:tcBorders>
            <w:shd w:color="auto" w:fill="37CBFF" w:val="clear"/>
            <w:vAlign w:val="center"/>
          </w:tcPr>
          <w:p>
            <w:pPr>
              <w:pStyle w:val="Zkladntext1"/>
              <w:spacing w:lineRule="atLeast" w:line="22" w:before="0" w:after="0"/>
              <w:contextualSpacing/>
              <w:jc w:val="center"/>
              <w:rPr>
                <w:rFonts w:ascii="Arial" w:hAnsi="Arial" w:cs="Arial"/>
                <w:b/>
                <w:b/>
                <w:sz w:val="22"/>
                <w:szCs w:val="22"/>
                <w:lang w:val="sk-SK" w:eastAsia="sk-SK"/>
              </w:rPr>
            </w:pPr>
            <w:r>
              <w:rPr>
                <w:rFonts w:cs="Arial" w:ascii="Calibri" w:hAnsi="Calibri"/>
                <w:b/>
                <w:sz w:val="22"/>
                <w:szCs w:val="22"/>
                <w:lang w:val="sk-SK" w:eastAsia="sk-SK"/>
              </w:rPr>
              <w:t>Počet prijímateľov</w:t>
            </w:r>
          </w:p>
        </w:tc>
        <w:tc>
          <w:tcPr>
            <w:tcW w:w="7131" w:type="dxa"/>
            <w:gridSpan w:val="4"/>
            <w:tcBorders>
              <w:top w:val="single" w:sz="4" w:space="0" w:color="000000"/>
              <w:left w:val="single" w:sz="4" w:space="0" w:color="000000"/>
              <w:bottom w:val="single" w:sz="4" w:space="0" w:color="000000"/>
              <w:right w:val="single" w:sz="4" w:space="0" w:color="000000"/>
            </w:tcBorders>
            <w:shd w:color="auto" w:fill="37CBFF" w:val="clear"/>
            <w:vAlign w:val="center"/>
          </w:tcPr>
          <w:p>
            <w:pPr>
              <w:pStyle w:val="Zkladntext1"/>
              <w:spacing w:lineRule="atLeast" w:line="22" w:before="0" w:after="0"/>
              <w:contextualSpacing/>
              <w:jc w:val="center"/>
              <w:rPr>
                <w:rFonts w:ascii="Arial" w:hAnsi="Arial" w:cs="Arial"/>
                <w:b/>
                <w:b/>
                <w:iCs/>
                <w:sz w:val="22"/>
                <w:szCs w:val="22"/>
                <w:lang w:val="sk-SK" w:eastAsia="sk-SK"/>
              </w:rPr>
            </w:pPr>
            <w:r>
              <w:rPr>
                <w:rFonts w:cs="Arial" w:ascii="Calibri" w:hAnsi="Calibri"/>
                <w:b/>
                <w:iCs/>
                <w:sz w:val="22"/>
                <w:szCs w:val="22"/>
                <w:lang w:val="sk-SK" w:eastAsia="sk-SK"/>
              </w:rPr>
              <w:t>Kontakt s rodinnými príslušníkmi</w:t>
            </w:r>
          </w:p>
        </w:tc>
      </w:tr>
      <w:tr>
        <w:trPr/>
        <w:tc>
          <w:tcPr>
            <w:tcW w:w="1843" w:type="dxa"/>
            <w:vMerge w:val="continue"/>
            <w:tcBorders>
              <w:left w:val="single" w:sz="4" w:space="0" w:color="000000"/>
              <w:bottom w:val="single" w:sz="4" w:space="0" w:color="000000"/>
              <w:right w:val="single" w:sz="4" w:space="0" w:color="000000"/>
            </w:tcBorders>
            <w:shd w:color="auto" w:fill="37CBFF" w:val="clear"/>
            <w:vAlign w:val="center"/>
          </w:tcPr>
          <w:p>
            <w:pPr>
              <w:pStyle w:val="Zkladntext1"/>
              <w:spacing w:lineRule="atLeast" w:line="22" w:before="0" w:after="0"/>
              <w:contextualSpacing/>
              <w:rPr>
                <w:rFonts w:ascii="Calibri" w:hAnsi="Calibri" w:cs="Arial"/>
                <w:sz w:val="22"/>
                <w:szCs w:val="22"/>
                <w:lang w:val="sk-SK" w:eastAsia="sk-SK"/>
              </w:rPr>
            </w:pPr>
            <w:r>
              <w:rPr>
                <w:rFonts w:cs="Arial" w:ascii="Calibri" w:hAnsi="Calibri"/>
                <w:sz w:val="22"/>
                <w:szCs w:val="22"/>
                <w:lang w:val="sk-SK" w:eastAsia="sk-SK"/>
              </w:rPr>
            </w:r>
          </w:p>
        </w:tc>
        <w:tc>
          <w:tcPr>
            <w:tcW w:w="2267" w:type="dxa"/>
            <w:tcBorders>
              <w:top w:val="single" w:sz="4" w:space="0" w:color="000000"/>
              <w:left w:val="single" w:sz="4" w:space="0" w:color="000000"/>
              <w:bottom w:val="single" w:sz="4" w:space="0" w:color="000000"/>
              <w:right w:val="single" w:sz="4" w:space="0" w:color="000000"/>
            </w:tcBorders>
            <w:shd w:color="auto" w:fill="37CBFF" w:val="clear"/>
            <w:vAlign w:val="center"/>
          </w:tcPr>
          <w:p>
            <w:pPr>
              <w:pStyle w:val="Zkladntext1"/>
              <w:spacing w:lineRule="atLeast" w:line="22" w:before="0" w:after="0"/>
              <w:contextualSpacing/>
              <w:jc w:val="center"/>
              <w:rPr>
                <w:rFonts w:ascii="Arial" w:hAnsi="Arial" w:cs="Arial"/>
                <w:b/>
                <w:b/>
                <w:sz w:val="22"/>
                <w:szCs w:val="22"/>
                <w:lang w:val="sk-SK" w:eastAsia="sk-SK"/>
              </w:rPr>
            </w:pPr>
            <w:r>
              <w:rPr>
                <w:rFonts w:cs="Arial" w:ascii="Calibri" w:hAnsi="Calibri"/>
                <w:b/>
                <w:sz w:val="22"/>
                <w:szCs w:val="22"/>
                <w:lang w:val="sk-SK" w:eastAsia="sk-SK"/>
              </w:rPr>
              <w:t>Pravidelný kontakt (min. 1 x mesačne)</w:t>
            </w:r>
          </w:p>
        </w:tc>
        <w:tc>
          <w:tcPr>
            <w:tcW w:w="2056" w:type="dxa"/>
            <w:tcBorders>
              <w:top w:val="single" w:sz="4" w:space="0" w:color="000000"/>
              <w:left w:val="single" w:sz="4" w:space="0" w:color="000000"/>
              <w:bottom w:val="single" w:sz="4" w:space="0" w:color="000000"/>
              <w:right w:val="single" w:sz="4" w:space="0" w:color="000000"/>
            </w:tcBorders>
            <w:shd w:color="auto" w:fill="37CBFF" w:val="clear"/>
            <w:vAlign w:val="center"/>
          </w:tcPr>
          <w:p>
            <w:pPr>
              <w:pStyle w:val="Zkladntext1"/>
              <w:spacing w:lineRule="atLeast" w:line="22" w:before="0" w:after="0"/>
              <w:contextualSpacing/>
              <w:jc w:val="center"/>
              <w:rPr>
                <w:rFonts w:ascii="Arial" w:hAnsi="Arial" w:cs="Arial"/>
                <w:b/>
                <w:b/>
                <w:sz w:val="22"/>
                <w:szCs w:val="22"/>
                <w:lang w:val="sk-SK" w:eastAsia="sk-SK"/>
              </w:rPr>
            </w:pPr>
            <w:r>
              <w:rPr>
                <w:rFonts w:cs="Arial" w:ascii="Calibri" w:hAnsi="Calibri"/>
                <w:b/>
                <w:sz w:val="22"/>
                <w:szCs w:val="22"/>
                <w:lang w:val="sk-SK" w:eastAsia="sk-SK"/>
              </w:rPr>
              <w:t>Sporadický kontakt (niekoľko krát do roka)</w:t>
            </w:r>
          </w:p>
        </w:tc>
        <w:tc>
          <w:tcPr>
            <w:tcW w:w="1315" w:type="dxa"/>
            <w:tcBorders>
              <w:top w:val="single" w:sz="4" w:space="0" w:color="000000"/>
              <w:left w:val="single" w:sz="4" w:space="0" w:color="000000"/>
              <w:bottom w:val="single" w:sz="4" w:space="0" w:color="000000"/>
              <w:right w:val="single" w:sz="4" w:space="0" w:color="000000"/>
            </w:tcBorders>
            <w:shd w:color="auto" w:fill="37CBFF" w:val="clear"/>
            <w:vAlign w:val="center"/>
          </w:tcPr>
          <w:p>
            <w:pPr>
              <w:pStyle w:val="Zkladntext1"/>
              <w:spacing w:lineRule="atLeast" w:line="22" w:before="0" w:after="0"/>
              <w:contextualSpacing/>
              <w:jc w:val="center"/>
              <w:rPr>
                <w:rFonts w:ascii="Arial" w:hAnsi="Arial" w:cs="Arial"/>
                <w:b/>
                <w:b/>
                <w:sz w:val="22"/>
                <w:szCs w:val="22"/>
                <w:lang w:val="sk-SK" w:eastAsia="sk-SK"/>
              </w:rPr>
            </w:pPr>
            <w:r>
              <w:rPr>
                <w:rFonts w:cs="Arial" w:ascii="Calibri" w:hAnsi="Calibri"/>
                <w:b/>
                <w:sz w:val="22"/>
                <w:szCs w:val="22"/>
                <w:lang w:val="sk-SK" w:eastAsia="sk-SK"/>
              </w:rPr>
              <w:t>Žiadny kontakt</w:t>
            </w:r>
          </w:p>
        </w:tc>
        <w:tc>
          <w:tcPr>
            <w:tcW w:w="1493" w:type="dxa"/>
            <w:tcBorders>
              <w:top w:val="single" w:sz="4" w:space="0" w:color="000000"/>
              <w:left w:val="single" w:sz="4" w:space="0" w:color="000000"/>
              <w:bottom w:val="single" w:sz="4" w:space="0" w:color="000000"/>
              <w:right w:val="single" w:sz="4" w:space="0" w:color="000000"/>
            </w:tcBorders>
            <w:shd w:color="auto" w:fill="37CBFF" w:val="clear"/>
            <w:vAlign w:val="center"/>
          </w:tcPr>
          <w:p>
            <w:pPr>
              <w:pStyle w:val="Zkladntext1"/>
              <w:spacing w:lineRule="atLeast" w:line="22" w:before="0" w:after="0"/>
              <w:contextualSpacing/>
              <w:jc w:val="center"/>
              <w:rPr>
                <w:rFonts w:ascii="Arial" w:hAnsi="Arial" w:cs="Arial"/>
                <w:b/>
                <w:b/>
                <w:sz w:val="22"/>
                <w:szCs w:val="22"/>
                <w:lang w:val="sk-SK" w:eastAsia="sk-SK"/>
              </w:rPr>
            </w:pPr>
            <w:r>
              <w:rPr>
                <w:rFonts w:cs="Arial" w:ascii="Calibri" w:hAnsi="Calibri"/>
                <w:b/>
                <w:sz w:val="22"/>
                <w:szCs w:val="22"/>
                <w:lang w:val="sk-SK" w:eastAsia="sk-SK"/>
              </w:rPr>
              <w:t>Súdne rozhodnutie</w:t>
            </w:r>
          </w:p>
        </w:tc>
      </w:tr>
      <w:tr>
        <w:trPr/>
        <w:tc>
          <w:tcPr>
            <w:tcW w:w="1843" w:type="dxa"/>
            <w:tcBorders>
              <w:top w:val="single" w:sz="4" w:space="0" w:color="000000"/>
              <w:left w:val="single" w:sz="4" w:space="0" w:color="000000"/>
              <w:bottom w:val="single" w:sz="4" w:space="0" w:color="000000"/>
              <w:right w:val="single" w:sz="4" w:space="0" w:color="000000"/>
            </w:tcBorders>
            <w:shd w:color="auto" w:fill="auto" w:val="clear"/>
          </w:tcPr>
          <w:p>
            <w:pPr>
              <w:pStyle w:val="Zkladntext1"/>
              <w:spacing w:lineRule="atLeast" w:line="22" w:before="0" w:after="0"/>
              <w:contextualSpacing/>
              <w:jc w:val="center"/>
              <w:rPr>
                <w:rFonts w:ascii="Arial" w:hAnsi="Arial" w:cs="Arial"/>
                <w:sz w:val="22"/>
                <w:szCs w:val="22"/>
                <w:lang w:val="sk-SK" w:eastAsia="sk-SK"/>
              </w:rPr>
            </w:pPr>
            <w:r>
              <w:rPr>
                <w:rFonts w:cs="Arial" w:ascii="Calibri" w:hAnsi="Calibri"/>
                <w:sz w:val="22"/>
                <w:szCs w:val="22"/>
                <w:lang w:val="sk-SK" w:eastAsia="sk-SK"/>
              </w:rPr>
              <w:t>50</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Zkladntext1"/>
              <w:spacing w:lineRule="atLeast" w:line="22" w:before="0" w:after="0"/>
              <w:contextualSpacing/>
              <w:jc w:val="center"/>
              <w:rPr>
                <w:rFonts w:ascii="Arial" w:hAnsi="Arial" w:cs="Arial"/>
                <w:sz w:val="22"/>
                <w:szCs w:val="22"/>
                <w:lang w:val="sk-SK" w:eastAsia="sk-SK"/>
              </w:rPr>
            </w:pPr>
            <w:r>
              <w:rPr>
                <w:rFonts w:cs="Arial" w:ascii="Calibri" w:hAnsi="Calibri"/>
                <w:sz w:val="22"/>
                <w:szCs w:val="22"/>
                <w:lang w:val="sk-SK" w:eastAsia="sk-SK"/>
              </w:rPr>
              <w:t>18</w:t>
            </w:r>
          </w:p>
        </w:tc>
        <w:tc>
          <w:tcPr>
            <w:tcW w:w="2056" w:type="dxa"/>
            <w:tcBorders>
              <w:top w:val="single" w:sz="4" w:space="0" w:color="000000"/>
              <w:left w:val="single" w:sz="4" w:space="0" w:color="000000"/>
              <w:bottom w:val="single" w:sz="4" w:space="0" w:color="000000"/>
              <w:right w:val="single" w:sz="4" w:space="0" w:color="000000"/>
            </w:tcBorders>
            <w:shd w:color="auto" w:fill="auto" w:val="clear"/>
          </w:tcPr>
          <w:p>
            <w:pPr>
              <w:pStyle w:val="Zkladntext1"/>
              <w:spacing w:lineRule="atLeast" w:line="22" w:before="0" w:after="0"/>
              <w:contextualSpacing/>
              <w:jc w:val="center"/>
              <w:rPr>
                <w:rFonts w:ascii="Arial" w:hAnsi="Arial" w:cs="Arial"/>
                <w:sz w:val="22"/>
                <w:szCs w:val="22"/>
                <w:lang w:val="sk-SK" w:eastAsia="sk-SK"/>
              </w:rPr>
            </w:pPr>
            <w:r>
              <w:rPr>
                <w:rFonts w:cs="Arial" w:ascii="Calibri" w:hAnsi="Calibri"/>
                <w:sz w:val="22"/>
                <w:szCs w:val="22"/>
                <w:lang w:val="sk-SK" w:eastAsia="sk-SK"/>
              </w:rPr>
              <w:t>17</w:t>
            </w:r>
          </w:p>
        </w:tc>
        <w:tc>
          <w:tcPr>
            <w:tcW w:w="1315" w:type="dxa"/>
            <w:tcBorders>
              <w:top w:val="single" w:sz="4" w:space="0" w:color="000000"/>
              <w:left w:val="single" w:sz="4" w:space="0" w:color="000000"/>
              <w:bottom w:val="single" w:sz="4" w:space="0" w:color="000000"/>
              <w:right w:val="single" w:sz="4" w:space="0" w:color="000000"/>
            </w:tcBorders>
            <w:shd w:color="auto" w:fill="auto" w:val="clear"/>
          </w:tcPr>
          <w:p>
            <w:pPr>
              <w:pStyle w:val="Zkladntext1"/>
              <w:spacing w:lineRule="atLeast" w:line="22" w:before="0" w:after="0"/>
              <w:contextualSpacing/>
              <w:jc w:val="center"/>
              <w:rPr>
                <w:rFonts w:ascii="Arial" w:hAnsi="Arial" w:cs="Arial"/>
                <w:sz w:val="22"/>
                <w:szCs w:val="22"/>
                <w:lang w:val="sk-SK" w:eastAsia="sk-SK"/>
              </w:rPr>
            </w:pPr>
            <w:r>
              <w:rPr>
                <w:rFonts w:cs="Arial" w:ascii="Calibri" w:hAnsi="Calibri"/>
                <w:sz w:val="22"/>
                <w:szCs w:val="22"/>
                <w:lang w:val="sk-SK" w:eastAsia="sk-SK"/>
              </w:rPr>
              <w:t>15</w:t>
            </w:r>
          </w:p>
        </w:tc>
        <w:tc>
          <w:tcPr>
            <w:tcW w:w="1493" w:type="dxa"/>
            <w:tcBorders>
              <w:top w:val="single" w:sz="4" w:space="0" w:color="000000"/>
              <w:left w:val="single" w:sz="4" w:space="0" w:color="000000"/>
              <w:bottom w:val="single" w:sz="4" w:space="0" w:color="000000"/>
              <w:right w:val="single" w:sz="4" w:space="0" w:color="000000"/>
            </w:tcBorders>
            <w:shd w:color="auto" w:fill="auto" w:val="clear"/>
          </w:tcPr>
          <w:p>
            <w:pPr>
              <w:pStyle w:val="Zkladntext1"/>
              <w:spacing w:lineRule="atLeast" w:line="22" w:before="0" w:after="0"/>
              <w:contextualSpacing/>
              <w:jc w:val="center"/>
              <w:rPr>
                <w:rFonts w:ascii="Arial" w:hAnsi="Arial" w:cs="Arial"/>
                <w:sz w:val="22"/>
                <w:szCs w:val="22"/>
                <w:lang w:val="sk-SK" w:eastAsia="sk-SK"/>
              </w:rPr>
            </w:pPr>
            <w:r>
              <w:rPr>
                <w:rFonts w:cs="Arial" w:ascii="Calibri" w:hAnsi="Calibri"/>
                <w:sz w:val="22"/>
                <w:szCs w:val="22"/>
                <w:lang w:val="sk-SK" w:eastAsia="sk-SK"/>
              </w:rPr>
              <w:t>0</w:t>
            </w:r>
          </w:p>
        </w:tc>
      </w:tr>
    </w:tbl>
    <w:p>
      <w:pPr>
        <w:pStyle w:val="Normal"/>
        <w:spacing w:before="0" w:after="0"/>
        <w:contextualSpacing/>
        <w:jc w:val="both"/>
        <w:rPr>
          <w:sz w:val="22"/>
        </w:rPr>
      </w:pPr>
      <w:r>
        <w:rPr>
          <w:sz w:val="22"/>
        </w:rPr>
        <w:t>Tabuľka 7 Práca s rodinnými príslušníkmi</w:t>
      </w:r>
    </w:p>
    <w:p>
      <w:pPr>
        <w:pStyle w:val="Normal"/>
        <w:spacing w:before="0" w:after="0"/>
        <w:contextualSpacing/>
        <w:jc w:val="both"/>
        <w:rPr>
          <w:sz w:val="22"/>
        </w:rPr>
      </w:pPr>
      <w:r>
        <w:rPr>
          <w:sz w:val="22"/>
        </w:rPr>
      </w:r>
    </w:p>
    <w:p>
      <w:pPr>
        <w:pStyle w:val="Normal"/>
        <w:spacing w:before="0" w:after="0"/>
        <w:jc w:val="both"/>
        <w:rPr>
          <w:sz w:val="22"/>
          <w:szCs w:val="22"/>
        </w:rPr>
      </w:pPr>
      <w:r>
        <w:rPr>
          <w:sz w:val="22"/>
          <w:szCs w:val="22"/>
        </w:rPr>
        <w:t>V úvodnej etape príprav na transformáciu (2018-2021) začíname s realizáciou komunikačného plánu s príbuznými a rodinou. V komunikačnom pláne máme zahrnuté nasledovné aktivity:</w:t>
      </w:r>
    </w:p>
    <w:p>
      <w:pPr>
        <w:pStyle w:val="ListParagraph"/>
        <w:spacing w:before="0" w:after="0"/>
        <w:ind w:left="0" w:hanging="0"/>
        <w:contextualSpacing/>
        <w:rPr>
          <w:rFonts w:ascii="Times New Roman" w:hAnsi="Times New Roman"/>
          <w:b/>
          <w:b/>
        </w:rPr>
      </w:pPr>
      <w:r>
        <w:rPr>
          <w:rFonts w:ascii="Times New Roman" w:hAnsi="Times New Roman"/>
          <w:b/>
        </w:rPr>
        <w:t xml:space="preserve">Neformálne stretnutia  </w:t>
      </w:r>
    </w:p>
    <w:p>
      <w:pPr>
        <w:pStyle w:val="ListParagraph"/>
        <w:spacing w:before="0" w:after="0"/>
        <w:contextualSpacing/>
        <w:rPr>
          <w:rFonts w:ascii="Times New Roman" w:hAnsi="Times New Roman"/>
        </w:rPr>
      </w:pPr>
      <w:r>
        <w:rPr>
          <w:rFonts w:ascii="Times New Roman" w:hAnsi="Times New Roman"/>
        </w:rPr>
      </w:r>
    </w:p>
    <w:p>
      <w:pPr>
        <w:pStyle w:val="ListParagraph"/>
        <w:numPr>
          <w:ilvl w:val="0"/>
          <w:numId w:val="31"/>
        </w:numPr>
        <w:spacing w:before="0" w:after="0"/>
        <w:contextualSpacing/>
        <w:jc w:val="both"/>
        <w:rPr>
          <w:rFonts w:ascii="Times New Roman" w:hAnsi="Times New Roman"/>
        </w:rPr>
      </w:pPr>
      <w:r>
        <w:rPr>
          <w:rFonts w:ascii="Times New Roman" w:hAnsi="Times New Roman"/>
        </w:rPr>
        <w:t>Príbuzných pozývame na neformálne stretnutie v areáli DSS, na ktorom sa opäť stretnú so svojimi blízkymi a s personálom DSS. Súčasťou stretnutia je poskytnutie komplexnej informácie o plánovanej transformácii spolu s predstavením vízie skvalitnenia sociálnej služby. Osobná účasť príbuzných je dôležitá z dôvodu okamžitého zodpovedania otázok, rešpektovania pripomienok a redukovania obáv z nového neznámeho postupu.</w:t>
      </w:r>
    </w:p>
    <w:p>
      <w:pPr>
        <w:pStyle w:val="ListParagraph"/>
        <w:numPr>
          <w:ilvl w:val="0"/>
          <w:numId w:val="31"/>
        </w:numPr>
        <w:spacing w:before="0" w:after="0"/>
        <w:contextualSpacing/>
        <w:jc w:val="both"/>
        <w:rPr>
          <w:rFonts w:ascii="Times New Roman" w:hAnsi="Times New Roman"/>
        </w:rPr>
      </w:pPr>
      <w:r>
        <w:rPr>
          <w:rFonts w:ascii="Times New Roman" w:hAnsi="Times New Roman"/>
        </w:rPr>
        <w:t xml:space="preserve">Informovanie prostredníctvom našej webovej stránky </w:t>
      </w:r>
    </w:p>
    <w:p>
      <w:pPr>
        <w:pStyle w:val="ListParagraph"/>
        <w:numPr>
          <w:ilvl w:val="0"/>
          <w:numId w:val="31"/>
        </w:numPr>
        <w:spacing w:before="0" w:after="0"/>
        <w:contextualSpacing/>
        <w:jc w:val="both"/>
        <w:rPr>
          <w:rFonts w:ascii="Times New Roman" w:hAnsi="Times New Roman"/>
        </w:rPr>
      </w:pPr>
      <w:r>
        <w:rPr>
          <w:rFonts w:ascii="Times New Roman" w:hAnsi="Times New Roman"/>
        </w:rPr>
        <w:t xml:space="preserve">Zaregistrovanie sa na sociálnej sieti   (facebook) – priebežné informovanie o procese  DI a komunikácia s príbuznými  </w:t>
      </w:r>
    </w:p>
    <w:p>
      <w:pPr>
        <w:pStyle w:val="ListParagraph"/>
        <w:numPr>
          <w:ilvl w:val="0"/>
          <w:numId w:val="31"/>
        </w:numPr>
        <w:spacing w:before="0" w:after="0"/>
        <w:contextualSpacing/>
        <w:jc w:val="both"/>
        <w:rPr>
          <w:rFonts w:ascii="Times New Roman" w:hAnsi="Times New Roman"/>
        </w:rPr>
      </w:pPr>
      <w:r>
        <w:rPr>
          <w:rFonts w:ascii="Times New Roman" w:hAnsi="Times New Roman"/>
        </w:rPr>
        <w:t xml:space="preserve">Opakované stretnutia s príbuznými podľa potreby </w:t>
      </w:r>
    </w:p>
    <w:p>
      <w:pPr>
        <w:pStyle w:val="Normal"/>
        <w:spacing w:before="0" w:after="0"/>
        <w:contextualSpacing/>
        <w:jc w:val="both"/>
        <w:rPr/>
      </w:pPr>
      <w:r>
        <w:rPr/>
      </w:r>
    </w:p>
    <w:p>
      <w:pPr>
        <w:pStyle w:val="Normal"/>
        <w:spacing w:before="0" w:after="0"/>
        <w:contextualSpacing/>
        <w:jc w:val="both"/>
        <w:rPr>
          <w:rFonts w:eastAsia="Times New Roman"/>
          <w:sz w:val="22"/>
          <w:lang w:eastAsia="sk-SK"/>
        </w:rPr>
      </w:pPr>
      <w:r>
        <w:rPr>
          <w:rFonts w:eastAsia="Times New Roman"/>
          <w:sz w:val="22"/>
          <w:lang w:eastAsia="sk-SK"/>
        </w:rPr>
        <w:t xml:space="preserve">Podrobná analýza práce s rodinnými príslušníkmi je predmetom Prílohy č. 5. </w:t>
      </w:r>
    </w:p>
    <w:p>
      <w:pPr>
        <w:pStyle w:val="Normal"/>
        <w:spacing w:before="0" w:after="0"/>
        <w:contextualSpacing/>
        <w:jc w:val="both"/>
        <w:rPr/>
      </w:pPr>
      <w:r>
        <w:rPr/>
      </w:r>
    </w:p>
    <w:p>
      <w:pPr>
        <w:pStyle w:val="Nadpis21"/>
        <w:spacing w:before="240" w:after="0"/>
        <w:ind w:left="1070" w:hanging="360"/>
        <w:contextualSpacing/>
        <w:rPr/>
      </w:pPr>
      <w:bookmarkStart w:id="12" w:name="_Toc71021261"/>
      <w:r>
        <w:rPr/>
        <w:t>2.8.Realizované integračné a inkluzívne aktivity – kultúrne, športové, v komunite,</w:t>
      </w:r>
      <w:bookmarkEnd w:id="12"/>
    </w:p>
    <w:p>
      <w:pPr>
        <w:pStyle w:val="Nadpis21"/>
        <w:spacing w:lineRule="atLeast" w:line="22" w:before="240" w:after="0"/>
        <w:contextualSpacing/>
        <w:rPr/>
      </w:pPr>
      <w:r>
        <w:rPr/>
        <w:tab/>
      </w:r>
      <w:bookmarkStart w:id="13" w:name="_Toc71021262"/>
      <w:r>
        <w:rPr/>
        <w:t>s dobrovoľníkmi, v pracovnom živote</w:t>
      </w:r>
      <w:bookmarkEnd w:id="13"/>
    </w:p>
    <w:p>
      <w:pPr>
        <w:pStyle w:val="Normal"/>
        <w:rPr/>
      </w:pPr>
      <w:r>
        <w:rPr/>
      </w:r>
    </w:p>
    <w:p>
      <w:pPr>
        <w:pStyle w:val="Normal"/>
        <w:spacing w:before="0" w:after="0"/>
        <w:ind w:firstLine="708"/>
        <w:jc w:val="both"/>
        <w:rPr/>
      </w:pPr>
      <w:r>
        <w:rPr>
          <w:sz w:val="22"/>
        </w:rPr>
        <w:t xml:space="preserve">Zariadenie DSS  Ladomerská Vieska  aktívne spolupracuje s dobrovoľníkmi, najmä študentmi stredných škôl v meste  Žiar nad Hronom – Súkromná obchodná akadémia, Pedagogická a sociálna akadémia Brezno, s UMB Banská Bystrica, ale aj s obcou Ladomerská Vieska,  viacerými organizáciami,  či už v oblasti kultúrnej (spoločné vystúpenie s folklórnym súborom HRON), športovej ale aj pracovnej terapie.  Prijímatelia DSS Ladomerská Vieska sa  zúčastňujú na aktivitách v obci Ladomerská  Vieska (vystúpenie na Stretnutí Viesok),  v meste Žiar nad Hronom (účinkovanie na benefičnom koncerte Na krídlach anjelov ), na spoločenských udalostiach v okolitých obciach (Janova Lehota – Deň rodiny , Prochot – Dni obce, Dolná Ždaňa– Dožinky, Radničkine trhy v Bratislave), odborných podujatiach, medzinárodných konferenciách. Zamestnanci  podporujú prijímateľov, aby sami aktívne vystupovali a zdieľali spoločný  život v komunite. Pravidelne sa zúčastňujú zahraničných a tuzemských dovoleniek, výletov, športových súťaží a rôznych stretnutí, ktoré organizujú iné zariadenia sociálnych služieb. </w:t>
      </w:r>
    </w:p>
    <w:p>
      <w:pPr>
        <w:pStyle w:val="Normal"/>
        <w:jc w:val="both"/>
        <w:rPr/>
      </w:pPr>
      <w:r>
        <w:rPr>
          <w:sz w:val="22"/>
        </w:rPr>
        <w:t>Postupne sa snažíme klientom hľadať prácu a aktívne ich zapájať do pracovného života či už na chránenom alebo otvorenom trhu práce. Jeden klient pracoval na JRD v Žiari nad Hronom, neskôr v Útulku pre psov ako dobrovoľník, teraz pracuje na dohodu vo firme Metakov v ZH. Ďalší pracoval  pre obec ako záhradník v rámci medzinárodného projektu na skrátený úväzok, teraz pracuje ako dobrovoľník na mestskej tržnici v ZH a počas víkendov roznáša reklamné letáky pre Regionpress na dohodu.</w:t>
      </w:r>
    </w:p>
    <w:p>
      <w:pPr>
        <w:pStyle w:val="Normal"/>
        <w:jc w:val="both"/>
        <w:rPr/>
      </w:pPr>
      <w:r>
        <w:rPr>
          <w:sz w:val="22"/>
        </w:rPr>
        <w:t xml:space="preserve">Stále sa však na pracovnom trhu stretávame s veľkými predsudkami zamestnávateľov, čo je aj z hľadiska ich zdravotného znevýhodnenia pochopiteľné. Zamestnávatelia majú obavy, že osoby s duševnými poruchami nedokážu  pracovať na linke, pri stroji a podobne. Ide tu o bezpečnosť  a samotný pracovný  výkon. Nedokážu sa dlhodobo sústrediť na prácu, na určitý výkon a preto sa im snažíme sprostredkovať prácu aspoň na kratšie úväzky s jednoduchou náročnosťou. </w:t>
      </w:r>
    </w:p>
    <w:p>
      <w:pPr>
        <w:pStyle w:val="Normal"/>
        <w:jc w:val="both"/>
        <w:rPr/>
      </w:pPr>
      <w:r>
        <w:rPr>
          <w:sz w:val="22"/>
          <w:szCs w:val="22"/>
        </w:rPr>
        <w:t xml:space="preserve">V procese prípravy komunity na prijatie klientov sa uskutočnilo viacero rokovaní s potenciálnymi susedmi, poskytovali sme im informácie a riešili sme obavy zo strany komunity. Vzhľadom na veľké obavy , ktoré  boli na spoločných stretnutiach prezentované, sme museli vynaložiť veľké úsilie, aby sme pozmenili názor komunity na našich klientov a celkovo na poskytovanie komunitných služieb. Najväčší strach  bol z neznalosti , čo to vlastne deinštitucionalizácia je. Absolvovali sme viacero vzájomných stretnutí s potenciálnymi susedmi, predstaviteľmi samosprávy. </w:t>
      </w:r>
    </w:p>
    <w:p>
      <w:pPr>
        <w:pStyle w:val="Normal"/>
        <w:jc w:val="both"/>
        <w:rPr>
          <w:sz w:val="22"/>
        </w:rPr>
      </w:pPr>
      <w:r>
        <w:rPr>
          <w:sz w:val="22"/>
        </w:rPr>
        <w:t xml:space="preserve">Konkrétne aktivity sa nachádzajú v prílohe č. 6. </w:t>
      </w:r>
    </w:p>
    <w:p>
      <w:pPr>
        <w:pStyle w:val="Nadpis11"/>
        <w:rPr/>
      </w:pPr>
      <w:bookmarkStart w:id="14" w:name="_Toc71021263"/>
      <w:r>
        <w:rPr>
          <w:rStyle w:val="Odkazintenzivn1"/>
          <w:b/>
          <w:bCs w:val="false"/>
          <w:caps w:val="false"/>
          <w:smallCaps w:val="false"/>
          <w:color w:val="2F5496"/>
          <w:spacing w:val="0"/>
        </w:rPr>
        <w:t>3. PRIJÍMATELIA SOCIÁLNYCH SLUŽIEB</w:t>
      </w:r>
      <w:bookmarkEnd w:id="14"/>
    </w:p>
    <w:p>
      <w:pPr>
        <w:pStyle w:val="Nadpis21"/>
        <w:ind w:left="710" w:hanging="0"/>
        <w:rPr/>
      </w:pPr>
      <w:bookmarkStart w:id="15" w:name="_Toc71021264"/>
      <w:r>
        <w:rPr/>
        <w:t>3.1. Analýza súčasnej situácie ku dňu 30.11.2020</w:t>
      </w:r>
      <w:bookmarkEnd w:id="15"/>
    </w:p>
    <w:p>
      <w:pPr>
        <w:pStyle w:val="Odstavecseseznamem1"/>
        <w:spacing w:before="0" w:after="0"/>
        <w:ind w:left="0" w:hanging="0"/>
        <w:contextualSpacing/>
        <w:jc w:val="both"/>
        <w:rPr/>
      </w:pPr>
      <w:r>
        <w:rPr>
          <w:sz w:val="22"/>
        </w:rPr>
        <w:t xml:space="preserve">V zariadení sa momentálne poskytujú sociálne služby </w:t>
      </w:r>
      <w:r>
        <w:rPr>
          <w:b/>
          <w:sz w:val="22"/>
        </w:rPr>
        <w:t>50 prijímateľom</w:t>
      </w:r>
      <w:r>
        <w:rPr>
          <w:sz w:val="22"/>
        </w:rPr>
        <w:t xml:space="preserve"> – celoročný pobyt, domov sociálnych služieb. </w:t>
      </w:r>
    </w:p>
    <w:p>
      <w:pPr>
        <w:pStyle w:val="Odstavecseseznamem1"/>
        <w:spacing w:before="0" w:after="0"/>
        <w:ind w:left="708" w:hanging="0"/>
        <w:contextualSpacing/>
        <w:jc w:val="both"/>
        <w:rPr>
          <w:sz w:val="22"/>
        </w:rPr>
      </w:pPr>
      <w:r>
        <w:rPr>
          <w:sz w:val="22"/>
        </w:rPr>
      </w:r>
    </w:p>
    <w:p>
      <w:pPr>
        <w:pStyle w:val="Odstavecseseznamem1"/>
        <w:spacing w:before="0" w:after="0"/>
        <w:ind w:left="0" w:hanging="0"/>
        <w:contextualSpacing/>
        <w:jc w:val="both"/>
        <w:rPr/>
      </w:pPr>
      <w:r>
        <w:rPr>
          <w:sz w:val="22"/>
        </w:rPr>
        <w:tab/>
        <w:t xml:space="preserve">V  DSS  Ladomerská Vieska sa pôvodne poskytovali sociálne služby pre 105 klientov, neskôr pre 70 a od roku 2011 je dodržiavaná kapacita 50 . Postupným, prirodzeným úbytkom za niekoľko rokov sme dosiahli schválenú kapacitu – 50 PSS. Viac ako polovica prijímateľov je vo vekovom rozpätí 31-60 rokov. Z hľadiska miery potrebnej podpory resp. stupňov odkázanosti všetci PSS majú  najvyšší stupeň odkázanosti (VI).Polovica prijímateľov  v zariadení má  mentálne postihnutie, polovica z nich kombinované s telesnými  a psychickými poruchami. Tu prevládajú najmä schizofrénie, poruchy osobnosti a poruchy správania.  Takmer všetci sú zbavení spôsobilosti na právne úkony, úplne alebo čiastočne. </w:t>
      </w:r>
    </w:p>
    <w:p>
      <w:pPr>
        <w:pStyle w:val="Odstavecseseznamem1"/>
        <w:spacing w:before="0" w:after="0"/>
        <w:ind w:left="0" w:hanging="0"/>
        <w:contextualSpacing/>
        <w:jc w:val="both"/>
        <w:rPr/>
      </w:pPr>
      <w:r>
        <w:rPr>
          <w:sz w:val="22"/>
        </w:rPr>
        <w:t>Detailná analýza súčasnej situácie z pohľadu prijímateľov sociálnych služieb je súčasťou Prílohy č. 7 Analýza potrieb, predstáv, snov</w:t>
      </w:r>
    </w:p>
    <w:p>
      <w:pPr>
        <w:pStyle w:val="Odstavecseseznamem1"/>
        <w:spacing w:before="0" w:after="0"/>
        <w:ind w:left="0" w:hanging="0"/>
        <w:contextualSpacing/>
        <w:jc w:val="both"/>
        <w:rPr/>
      </w:pPr>
      <w:r>
        <w:rPr>
          <w:sz w:val="22"/>
        </w:rPr>
        <w:t>Analýza potrieb, predstáv a snov prijímateľov prebiehala zisťovaním ich preferencií a predstáv o budúcnosti v oblasti bývania, denných služieb, zamestnania a inej špecifickej podpory. Na zistenie uvedeného sa realizovali stretnutia s prijímateľmi, zamestnancami a v jednotlivých prípadoch aj s rodinnými príslušníkmi prijímateľov. V rámci uvedených stretnutí sme definovali ciele v dvoch časových etapách:</w:t>
      </w:r>
    </w:p>
    <w:p>
      <w:pPr>
        <w:pStyle w:val="Odstavecseseznamem1"/>
        <w:spacing w:before="0" w:after="0"/>
        <w:ind w:left="0" w:hanging="0"/>
        <w:contextualSpacing/>
        <w:jc w:val="both"/>
        <w:rPr>
          <w:sz w:val="22"/>
        </w:rPr>
      </w:pPr>
      <w:r>
        <w:rPr>
          <w:sz w:val="22"/>
        </w:rPr>
      </w:r>
    </w:p>
    <w:p>
      <w:pPr>
        <w:pStyle w:val="Odstavecseseznamem1"/>
        <w:numPr>
          <w:ilvl w:val="0"/>
          <w:numId w:val="21"/>
        </w:numPr>
        <w:spacing w:before="0" w:after="0"/>
        <w:ind w:left="426" w:hanging="360"/>
        <w:contextualSpacing/>
        <w:jc w:val="both"/>
        <w:rPr/>
      </w:pPr>
      <w:r>
        <w:rPr>
          <w:b/>
          <w:sz w:val="22"/>
        </w:rPr>
        <w:t>Preferencie a potreby prijímateľov</w:t>
      </w:r>
      <w:r>
        <w:rPr>
          <w:sz w:val="22"/>
        </w:rPr>
        <w:t>, ktoré chceme naplniť v najbližších 5 rokoch. Na ich naplnenie je zameraný aj tento Transformačný plán</w:t>
      </w:r>
    </w:p>
    <w:p>
      <w:pPr>
        <w:pStyle w:val="Odstavecseseznamem1"/>
        <w:numPr>
          <w:ilvl w:val="0"/>
          <w:numId w:val="21"/>
        </w:numPr>
        <w:spacing w:before="0" w:after="0"/>
        <w:ind w:left="426" w:hanging="360"/>
        <w:contextualSpacing/>
        <w:jc w:val="both"/>
        <w:rPr/>
      </w:pPr>
      <w:r>
        <w:rPr>
          <w:b/>
          <w:sz w:val="22"/>
        </w:rPr>
        <w:t>Sny a predstavy</w:t>
      </w:r>
      <w:r>
        <w:rPr>
          <w:sz w:val="22"/>
        </w:rPr>
        <w:t xml:space="preserve"> o budúcnosti prijímateľov sú priebežne zisťované v rámci individuálnej intervencie a práce s prijímateľmi pri realizácii ich Individuálnych plánov. </w:t>
      </w:r>
    </w:p>
    <w:p>
      <w:pPr>
        <w:pStyle w:val="Odstavecseseznamem1"/>
        <w:spacing w:before="0" w:after="0"/>
        <w:ind w:left="66" w:hanging="0"/>
        <w:contextualSpacing/>
        <w:jc w:val="both"/>
        <w:rPr>
          <w:b/>
          <w:b/>
          <w:sz w:val="22"/>
        </w:rPr>
      </w:pPr>
      <w:r>
        <w:rPr>
          <w:b/>
          <w:sz w:val="22"/>
        </w:rPr>
      </w:r>
    </w:p>
    <w:p>
      <w:pPr>
        <w:pStyle w:val="Odstavecseseznamem1"/>
        <w:spacing w:before="0" w:after="0"/>
        <w:ind w:left="66" w:hanging="0"/>
        <w:contextualSpacing/>
        <w:jc w:val="both"/>
        <w:rPr/>
      </w:pPr>
      <w:r>
        <w:rPr>
          <w:sz w:val="22"/>
        </w:rPr>
        <w:t xml:space="preserve">Zásadným kritériom podľa ktorého sme kreovali umiestnenie klientov do jednotlivých bytových jednotiek bolo ich prianie s kým by mali záujem bývať a to nielen na izbe, ale aj v samostatných bytových jednotkách. Veľkú váhu sme kládli práve na vzťahové nastavenie v komunitných službách. Do istej miery / i keď v inštitucionálnej podobe /  klienti bývajú na izbách podľa tohto kritéria už v súčasnej dobe, čo nám dáva základ na dobré nastavenie realizovania komunitných služieb počas a po transformácii. Predpokladáme, že to bude mať zásadný vplyv aj na zvládnutie adaptácie sa na nové poskytovanie komunitných služieb, s ktorým sa budú musieť klienti vyrovnať. A nielen klienti. </w:t>
      </w:r>
    </w:p>
    <w:p>
      <w:pPr>
        <w:pStyle w:val="Odstavecseseznamem1"/>
        <w:spacing w:before="0" w:after="0"/>
        <w:ind w:left="0" w:hanging="0"/>
        <w:contextualSpacing/>
        <w:jc w:val="both"/>
        <w:rPr>
          <w:sz w:val="22"/>
        </w:rPr>
      </w:pPr>
      <w:r>
        <w:rPr>
          <w:sz w:val="22"/>
        </w:rPr>
      </w:r>
    </w:p>
    <w:p>
      <w:pPr>
        <w:pStyle w:val="Odstavecseseznamem1"/>
        <w:spacing w:before="0" w:after="0"/>
        <w:ind w:left="0" w:hanging="0"/>
        <w:contextualSpacing/>
        <w:rPr/>
      </w:pPr>
      <w:r>
        <w:rPr>
          <w:sz w:val="22"/>
        </w:rPr>
        <w:t>Analýzu potrieb, predstáv a snov prijímateľov zariadenia tvorí Príloha č. 8.</w:t>
      </w:r>
    </w:p>
    <w:p>
      <w:pPr>
        <w:pStyle w:val="Normal"/>
        <w:jc w:val="both"/>
        <w:rPr>
          <w:sz w:val="22"/>
          <w:szCs w:val="22"/>
        </w:rPr>
      </w:pPr>
      <w:r>
        <w:rPr>
          <w:sz w:val="22"/>
          <w:szCs w:val="22"/>
        </w:rPr>
        <w:t>V zariadení v súčasnosti poskytujeme  služby inštitucionálnym spôsobom, aj keď sa snažíme vnášať  prvky komunitnej starostlivosti. Fyzický, psychický a mentálny stav klientov je rôznorodý a inštitucionálna starostlivosť obmedzuje adresný, individuálny prístup ku každému prijímateľovi sociálnych služieb. Rovnako to  prináša negatívne javy ako naučená pasivita, nedostatočne rozvinuté sociálne vzťahy, segregácia od komunity, niekedy aj rodiny, paušalizované liečebné postupy a procedúry a iné. Našim zámerom je dosiahnuť odstránenie, respektíve minimalizáciu týchto negatívnych javov a prostriedkom je transformácia zariadenia zo zariadenia poskytujúceho inštitucionálnu starostlivosť na zariadenie poskytujúce komunitnú starostlivosť.</w:t>
      </w:r>
    </w:p>
    <w:p>
      <w:pPr>
        <w:pStyle w:val="Normal"/>
        <w:jc w:val="both"/>
        <w:rPr>
          <w:sz w:val="22"/>
          <w:szCs w:val="22"/>
        </w:rPr>
      </w:pPr>
      <w:r>
        <w:rPr>
          <w:sz w:val="22"/>
          <w:szCs w:val="22"/>
        </w:rPr>
        <w:t xml:space="preserve">Už niekoľko rokov vykonávame činnosti, ktoré by mali viesť k transformácii zariadenia, pričom účelom je nájsť správny druh, obsah a formy sociálnych služieb, ktoré máme poskytovať tak, aby nami poskytované sociálne služby boli moderné a kvalitné. </w:t>
      </w:r>
    </w:p>
    <w:p>
      <w:pPr>
        <w:pStyle w:val="Normal"/>
        <w:jc w:val="both"/>
        <w:rPr>
          <w:sz w:val="22"/>
          <w:szCs w:val="22"/>
        </w:rPr>
      </w:pPr>
      <w:r>
        <w:rPr>
          <w:sz w:val="22"/>
          <w:szCs w:val="22"/>
        </w:rPr>
      </w:r>
    </w:p>
    <w:p>
      <w:pPr>
        <w:pStyle w:val="Normal"/>
        <w:jc w:val="both"/>
        <w:rPr>
          <w:sz w:val="22"/>
          <w:szCs w:val="22"/>
        </w:rPr>
      </w:pPr>
      <w:r>
        <w:rPr>
          <w:sz w:val="22"/>
          <w:szCs w:val="22"/>
        </w:rPr>
      </w:r>
    </w:p>
    <w:p>
      <w:pPr>
        <w:pStyle w:val="Normal"/>
        <w:jc w:val="both"/>
        <w:rPr>
          <w:b/>
          <w:b/>
          <w:bCs/>
          <w:sz w:val="22"/>
        </w:rPr>
      </w:pPr>
      <w:r>
        <w:rPr>
          <w:sz w:val="22"/>
          <w:szCs w:val="22"/>
        </w:rPr>
        <w:t>Tréningové bývanie</w:t>
      </w:r>
    </w:p>
    <w:p>
      <w:pPr>
        <w:pStyle w:val="Normal"/>
        <w:jc w:val="both"/>
        <w:rPr>
          <w:sz w:val="22"/>
          <w:szCs w:val="22"/>
        </w:rPr>
      </w:pPr>
      <w:r>
        <w:rPr>
          <w:sz w:val="22"/>
          <w:szCs w:val="22"/>
        </w:rPr>
        <w:t>V roku 2020 sme v objekte Dankov dom zriadili neformálne tréningové bývanie. Začali sme s počtom 7 PSS. Postupne sme ich učili samostatnosti v príprave stravy, v stolovaní, starostlivosti o domácnosť- triedenie osobnej bielizne, pranie, manipulácia s práčkou, sušičkou, sušenie osobnej bielizne na sušiakoch, triedenie komunálneho odpadu, starostlivosť o osobné veci- šatníkové skrine. Starostlivosť o osobnú hygienu. Starostlivosť o fyzické prostredie.  Finančná gramotnosť, čo si môžu alebo nemôžu dovoliť zakúpiť zo svojich finančných prostriedkov. Práca s telekomunikačnými prostriedkami, internetom, objednávanie vecí rôzneho charakteru on line, komunikácia s príbuznými cez whatsap a podobne.  Kládli sme dôraz aj na medziľudské vzťahy.</w:t>
      </w:r>
    </w:p>
    <w:p>
      <w:pPr>
        <w:pStyle w:val="Normal"/>
        <w:jc w:val="both"/>
        <w:rPr>
          <w:sz w:val="22"/>
        </w:rPr>
      </w:pPr>
      <w:r>
        <w:rPr>
          <w:sz w:val="22"/>
          <w:szCs w:val="22"/>
        </w:rPr>
        <w:t>Sami klienti si uvedomili, čo všetko musia vykonať, aby mali zabezpečený komfort, ktorý je pre nás v komunite samozrejmosťou. Postupne sme tréningové bývanie rozšírili o ďalších 7 PSS. Na otázku, či by sa chceli vrátiť k pôvodnému poskytovaniu SS, zhodne odpovedali, že nie. Je to signál pre nás, že je priam nevyhnutné, aby sme pokračovali na našej ceste k osamostatneniu sa klientov a k nevyhnutnej transformácii sociálnych služieb. Avšak dôraz sme kládli aj na zmenu myslenia zamestnancov, ktorí tiež potrebovali čas na prerod svojich tradicionalistických predstáv o poskytovaní sociálnych služieb.</w:t>
      </w:r>
    </w:p>
    <w:p>
      <w:pPr>
        <w:pStyle w:val="Normal"/>
        <w:jc w:val="both"/>
        <w:rPr>
          <w:sz w:val="22"/>
          <w:szCs w:val="22"/>
        </w:rPr>
      </w:pPr>
      <w:r>
        <w:rPr>
          <w:sz w:val="22"/>
          <w:szCs w:val="22"/>
        </w:rPr>
        <w:t>V rokoch 2019-2020-2021 sa nám podarilo na pracovnom trhu zamestnať striedavo 3-5 PSS na pracovnú zmluvu. Niektorým chýbajú pracovné návyky, čo je úloha pre nás, aby sme s potenciálnym zamestnateľným klientom naďalej pracovali, cez rôzne aktívne  nástroje trhu práce. Máme za to, a viackrát sa nám to potvrdilo v praxi, že keď sme aktívne pracovali s klientom, získal potrebné pracovné návyky. Cez aktívne nástroje sa nám podarilo zamestnať striedavo cca 10-15  PSS.</w:t>
      </w:r>
    </w:p>
    <w:p>
      <w:pPr>
        <w:pStyle w:val="Normal"/>
        <w:jc w:val="both"/>
        <w:rPr>
          <w:sz w:val="22"/>
          <w:szCs w:val="22"/>
        </w:rPr>
      </w:pPr>
      <w:r>
        <w:rPr>
          <w:sz w:val="22"/>
          <w:szCs w:val="22"/>
        </w:rPr>
        <w:t xml:space="preserve">Vzhľadom na to, že víziou zariadenia je napomôcť PSS získať sebapoznanie a sebadôveru, vďaka ktorej sa dokážu dobrovoľne rozhodovať a svoje rozhodnutia vedieť obhájiť, je cieľom Domova sociálnych služieb Ladomerská Vieska transformovať zariadenie tak, aby poskytované služby a vzťahy ku klientom boli v súlade s touto víziou. </w:t>
      </w:r>
    </w:p>
    <w:p>
      <w:pPr>
        <w:pStyle w:val="Normal"/>
        <w:jc w:val="both"/>
        <w:rPr>
          <w:sz w:val="22"/>
          <w:szCs w:val="22"/>
        </w:rPr>
      </w:pPr>
      <w:r>
        <w:rPr>
          <w:sz w:val="22"/>
          <w:szCs w:val="22"/>
        </w:rPr>
        <w:t>Na základe spomínaných kritérií,  potrieb a analýzy prijímateľov sme si zadefinovali ako nové komunitné služby, ktoré chceme poskytovať adresne:  Zariadenie podporovaného bývania, Špecializované zariadenie, podporné voľnočasové aktivity- centrum denných aktivít.</w:t>
      </w:r>
    </w:p>
    <w:p>
      <w:pPr>
        <w:pStyle w:val="Normal"/>
        <w:jc w:val="both"/>
        <w:rPr>
          <w:sz w:val="22"/>
          <w:szCs w:val="22"/>
        </w:rPr>
      </w:pPr>
      <w:r>
        <w:rPr>
          <w:sz w:val="22"/>
          <w:szCs w:val="22"/>
        </w:rPr>
        <w:t>V II. etape transformácie by sme radi pokračovali v realizácii našich zámerov smerom ku komunite.</w:t>
      </w:r>
    </w:p>
    <w:p>
      <w:pPr>
        <w:pStyle w:val="Nadpis21"/>
        <w:ind w:left="1070" w:hanging="360"/>
        <w:rPr/>
      </w:pPr>
      <w:bookmarkStart w:id="16" w:name="_Toc71021265"/>
      <w:r>
        <w:rPr/>
        <w:t>3.2. Zabezpečenie procesu individuálneho plánovania v zariadení</w:t>
      </w:r>
      <w:bookmarkEnd w:id="16"/>
    </w:p>
    <w:p>
      <w:pPr>
        <w:pStyle w:val="Normal"/>
        <w:spacing w:before="0" w:after="0"/>
        <w:jc w:val="both"/>
        <w:rPr>
          <w:sz w:val="22"/>
          <w:szCs w:val="22"/>
        </w:rPr>
      </w:pPr>
      <w:r>
        <w:rPr>
          <w:sz w:val="22"/>
          <w:szCs w:val="22"/>
        </w:rPr>
        <w:t xml:space="preserve">Práca s prijímateľmi sociálnych služieb v zariadení je realizovaná na základe individuálneho plánovania podpory pre každého jednotlivca. Všetci prijímatelia majú vypracovaný individuálny plán, ktorý sa používa ako nástroj spolupráce prijímateľov sociálnych služieb so zariadením a prostredníctvom, ktorého sa prijímateľom zabezpečí taká podpora, aby mohli v najväčšej možnej miere rozhodovať o svojom živote a aby poskytované služby zo strany organizácie reagovali na individuálne potreby a ciele jednotlivcov. Individuálne plánovanie zaviedlo- zariadenie do svojho systému práce. </w:t>
      </w:r>
    </w:p>
    <w:p>
      <w:pPr>
        <w:pStyle w:val="Normal"/>
        <w:spacing w:before="0" w:after="0"/>
        <w:jc w:val="both"/>
        <w:rPr>
          <w:sz w:val="22"/>
          <w:szCs w:val="22"/>
        </w:rPr>
      </w:pPr>
      <w:r>
        <w:rPr>
          <w:sz w:val="22"/>
          <w:szCs w:val="22"/>
        </w:rPr>
      </w:r>
    </w:p>
    <w:p>
      <w:pPr>
        <w:pStyle w:val="Normal"/>
        <w:spacing w:before="0" w:after="0"/>
        <w:jc w:val="both"/>
        <w:rPr>
          <w:sz w:val="22"/>
          <w:szCs w:val="22"/>
        </w:rPr>
      </w:pPr>
      <w:r>
        <w:rPr>
          <w:sz w:val="22"/>
          <w:szCs w:val="22"/>
        </w:rPr>
        <w:t xml:space="preserve">Samotná účasť alebo neúčasť na individuálnom plánovaní je slobodnou voľbou klienta. Procesy individuálneho plánovania vždy vychádzajú z potrieb klienta a preto sú rôzne. </w:t>
      </w:r>
      <w:r>
        <w:rPr>
          <w:color w:val="000000"/>
          <w:sz w:val="22"/>
          <w:szCs w:val="22"/>
        </w:rPr>
        <w:t xml:space="preserve">Okrem individuálnych plánov majú niektorí PSS </w:t>
      </w:r>
      <w:r>
        <w:rPr>
          <w:b/>
          <w:color w:val="000000"/>
          <w:sz w:val="22"/>
          <w:szCs w:val="22"/>
        </w:rPr>
        <w:t xml:space="preserve">vypracované </w:t>
      </w:r>
      <w:r>
        <w:rPr>
          <w:b/>
          <w:sz w:val="22"/>
          <w:szCs w:val="22"/>
        </w:rPr>
        <w:t>individuálne plány aktivizácie  a individuálne plány zamestnávania</w:t>
      </w:r>
      <w:r>
        <w:rPr>
          <w:sz w:val="22"/>
          <w:szCs w:val="22"/>
        </w:rPr>
        <w:t xml:space="preserve"> (zamestnanci DSS prešli týmito školeniam a sami si vyskúšali vytvoriť IP zamestnávania, ktorý bol kvalitne spracovaný).</w:t>
      </w:r>
    </w:p>
    <w:p>
      <w:pPr>
        <w:pStyle w:val="Normal"/>
        <w:spacing w:before="0" w:after="0"/>
        <w:jc w:val="both"/>
        <w:rPr>
          <w:sz w:val="22"/>
          <w:szCs w:val="22"/>
        </w:rPr>
      </w:pPr>
      <w:r>
        <w:rPr>
          <w:sz w:val="22"/>
          <w:szCs w:val="22"/>
        </w:rPr>
      </w:r>
    </w:p>
    <w:p>
      <w:pPr>
        <w:pStyle w:val="Normal"/>
        <w:jc w:val="both"/>
        <w:rPr>
          <w:sz w:val="22"/>
          <w:szCs w:val="22"/>
        </w:rPr>
      </w:pPr>
      <w:r>
        <w:rPr>
          <w:sz w:val="22"/>
          <w:szCs w:val="22"/>
        </w:rPr>
        <w:t>Súčasťou  individuálneho plánu je aj plán finančného hospodárenia zameraného na efektívne spravovanie  financií prijímateľov (školenie sme absolvovali a máme k dispozícii aj metodiku). Postupne ako boli PSS umiestnení na trhu práce boli s nimi vypracované plány zamestnávania. Individuálne plány zamestnávania klientom, ale aj zamestnancom, pomohli presne a adresne naplánovať, zrealizovať, zanalyzovať potreby týkajúce sa zamestnávania. V mnohých prípadoch nám ukázali silné stránky klientov, na ktorých môžeme stavať v ďalšom smerovaní v oblasti zamestnávania. Konkrétne nám poukázali, čo chcú klienti, kde  chcú pracovať, ako si predstavujú svoje pracovné zaradenie. Boli sme prekvapení, čo všetko klienti ovládajú, aké majú zručnosti.</w:t>
      </w:r>
    </w:p>
    <w:p>
      <w:pPr>
        <w:pStyle w:val="Normal"/>
        <w:jc w:val="both"/>
        <w:rPr>
          <w:sz w:val="22"/>
          <w:szCs w:val="22"/>
        </w:rPr>
      </w:pPr>
      <w:r>
        <w:rPr>
          <w:sz w:val="22"/>
          <w:szCs w:val="22"/>
        </w:rPr>
        <w:t>Metodika práce aj personálne zabezpečenie individuálneho plánovania je vysvetlené v Prílohe č.9.</w:t>
      </w:r>
    </w:p>
    <w:p>
      <w:pPr>
        <w:pStyle w:val="Normal"/>
        <w:spacing w:lineRule="atLeast" w:line="22" w:before="0" w:after="0"/>
        <w:jc w:val="both"/>
        <w:rPr>
          <w:sz w:val="22"/>
          <w:szCs w:val="22"/>
        </w:rPr>
      </w:pPr>
      <w:r>
        <w:rPr>
          <w:sz w:val="22"/>
          <w:szCs w:val="22"/>
        </w:rPr>
      </w:r>
    </w:p>
    <w:p>
      <w:pPr>
        <w:pStyle w:val="Nadpis21"/>
        <w:ind w:left="1070" w:hanging="360"/>
        <w:rPr/>
      </w:pPr>
      <w:bookmarkStart w:id="17" w:name="_Toc71021266"/>
      <w:r>
        <w:rPr/>
        <w:t>3.3. Plán prípravy prijímateľov na zmenu</w:t>
      </w:r>
      <w:bookmarkEnd w:id="17"/>
    </w:p>
    <w:p>
      <w:pPr>
        <w:pStyle w:val="Odstavecseseznamem1"/>
        <w:spacing w:before="0" w:after="0"/>
        <w:ind w:left="0" w:firstLine="708"/>
        <w:contextualSpacing/>
        <w:jc w:val="both"/>
        <w:rPr>
          <w:sz w:val="22"/>
        </w:rPr>
      </w:pPr>
      <w:r>
        <w:rPr>
          <w:sz w:val="22"/>
        </w:rPr>
        <w:t>Plán prípravy prijímateľov na zmenu bude prebiehať v etapách, ktoré majú svoje špecifiká a ktorých cieľom je pripraviť prijímateľov na bezpečný prechod z inštitucionálnych do komunitných sociálnych služieb, pomôcť im prevziať spoluzodpovednosť za seba, podporiť ich v nezávislom živote, sprostredkovať pre nich porozumenie realizovaným zmenám definovaným v Transformačnom pláne a podporiť ich aktívnu participáciu pri realizácii zmien v zariadení.</w:t>
      </w:r>
    </w:p>
    <w:p>
      <w:pPr>
        <w:pStyle w:val="Odstavecseseznamem1"/>
        <w:spacing w:before="0" w:after="0"/>
        <w:ind w:left="0" w:firstLine="708"/>
        <w:contextualSpacing/>
        <w:jc w:val="both"/>
        <w:rPr/>
      </w:pPr>
      <w:r>
        <w:rPr/>
      </w:r>
    </w:p>
    <w:p>
      <w:pPr>
        <w:pStyle w:val="Normal"/>
        <w:spacing w:before="0" w:after="0"/>
        <w:jc w:val="both"/>
        <w:rPr/>
      </w:pPr>
      <w:r>
        <w:rPr>
          <w:b/>
          <w:sz w:val="22"/>
          <w:szCs w:val="22"/>
        </w:rPr>
        <w:t>Poznanie a pochopenie potrieb klientov</w:t>
      </w:r>
      <w:r>
        <w:rPr>
          <w:sz w:val="22"/>
          <w:szCs w:val="22"/>
        </w:rPr>
        <w:t xml:space="preserve"> – hneď na začiatku plánovania zmien sme robili analýzu potrieb jednotlivých ľudí v domove. Poinformovali sme klientov o plánovaných zmenách. Odvtedy sa spomínaná analýza robí pravidelne, prehodnocuje sa, lebo klientom časom zmenia potreby a želania. V analýzach   sme sa zameriavali na konkrétne želanie klientov (s kým chcú bývať na izbe, v akom dome si predstavujú život, akú prácu by radi vykonali, ako by si zariadili vlastnú izbu, čo by robili vo voľnom čase, čoho všetko by sa chceli naučili, čo k tomu potrebujú , ako dosiahnuť svoj cieľ atď.)</w:t>
      </w:r>
    </w:p>
    <w:p>
      <w:pPr>
        <w:pStyle w:val="Normal"/>
        <w:spacing w:before="0" w:after="0"/>
        <w:jc w:val="both"/>
        <w:rPr/>
      </w:pPr>
      <w:r>
        <w:rPr>
          <w:sz w:val="22"/>
          <w:szCs w:val="22"/>
        </w:rPr>
        <w:tab/>
        <w:t xml:space="preserve">Dôležité je holistické posudzovanie klienta, jeho potrieb a reálnych schopností klienta. Na ich základe sú identifikované oblasti podpory klientov. Posudzujeme potreby klienta na základe funkčných schopností a disability a potrieb z pohľadu sociálnej služby. Objektívna definícia vychádza zo zákonných dôvodov poskytovania sociálnej služby. V rámci subjektívneho pohľadu zisťujeme potreby z pohľadu klienta, potreby klienta z pohľadu jeho blízkych osôb a potreby z hľadiska pracovníkov. </w:t>
      </w:r>
    </w:p>
    <w:p>
      <w:pPr>
        <w:pStyle w:val="Normal"/>
        <w:spacing w:before="0" w:after="0"/>
        <w:jc w:val="both"/>
        <w:rPr>
          <w:sz w:val="22"/>
        </w:rPr>
      </w:pPr>
      <w:r>
        <w:rPr>
          <w:sz w:val="22"/>
        </w:rPr>
      </w:r>
    </w:p>
    <w:p>
      <w:pPr>
        <w:pStyle w:val="Normal"/>
        <w:spacing w:before="0" w:after="0"/>
        <w:jc w:val="both"/>
        <w:rPr>
          <w:sz w:val="22"/>
          <w:szCs w:val="22"/>
        </w:rPr>
      </w:pPr>
      <w:r>
        <w:rPr>
          <w:sz w:val="22"/>
          <w:szCs w:val="22"/>
        </w:rPr>
        <w:t>Časový harmonogram jednotlivých krokov je nastavený úplne individuálne (čo sa objaví aj v individuálnych plánoch, v individuálnych plánoch aktivizácie a zamestnávania), keďže každý klient je individualita so svojimi potrebami, schopnosťami, zručnosťami, snami a každý prijímateľ reaguje na zmeny inak.</w:t>
      </w:r>
    </w:p>
    <w:p>
      <w:pPr>
        <w:pStyle w:val="Normal"/>
        <w:spacing w:before="0" w:after="0"/>
        <w:jc w:val="both"/>
        <w:rPr/>
      </w:pPr>
      <w:r>
        <w:rPr/>
      </w:r>
    </w:p>
    <w:p>
      <w:pPr>
        <w:pStyle w:val="Normal"/>
        <w:spacing w:before="0" w:after="0"/>
        <w:jc w:val="both"/>
        <w:rPr/>
      </w:pPr>
      <w:r>
        <w:rPr>
          <w:sz w:val="22"/>
          <w:szCs w:val="22"/>
        </w:rPr>
        <w:tab/>
        <w:t>Je potrebné prehodnocovať nielen mieru podpory pre každého klienta, ale aj ich ciele a predstavy. Prvé skúsenosti nám ukázali, že klienti s nižšou mierou podpory si na začiatku vyžadujú viacej podpory. Pri pripravovaní klientov treba rátať aj so spoločnosťou a komunitou, a treba ich tiež pripraviť.</w:t>
      </w:r>
    </w:p>
    <w:p>
      <w:pPr>
        <w:pStyle w:val="Odstavecseseznamem1"/>
        <w:spacing w:lineRule="atLeast" w:line="22" w:before="0" w:after="0"/>
        <w:ind w:left="0" w:hanging="0"/>
        <w:contextualSpacing/>
        <w:jc w:val="both"/>
        <w:rPr>
          <w:rFonts w:ascii="Calibri" w:hAnsi="Calibri" w:cs="Calibri"/>
          <w:sz w:val="22"/>
        </w:rPr>
      </w:pPr>
      <w:r>
        <w:rPr>
          <w:rFonts w:cs="Calibri" w:ascii="Calibri" w:hAnsi="Calibri"/>
          <w:sz w:val="22"/>
        </w:rPr>
      </w:r>
    </w:p>
    <w:p>
      <w:pPr>
        <w:pStyle w:val="Odstavecseseznamem1"/>
        <w:spacing w:lineRule="atLeast" w:line="22"/>
        <w:ind w:left="0" w:hanging="0"/>
        <w:jc w:val="both"/>
        <w:rPr>
          <w:rFonts w:ascii="Calibri" w:hAnsi="Calibri" w:cs="Calibri"/>
          <w:sz w:val="22"/>
        </w:rPr>
      </w:pPr>
      <w:r>
        <w:rPr>
          <w:rFonts w:cs="Calibri" w:ascii="Calibri" w:hAnsi="Calibri"/>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object w:dxaOrig="11521" w:dyaOrig="7425">
          <v:shape id="ole_rId7" style="width:484.65pt;height:251.35pt" o:ole="">
            <v:imagedata r:id="rId8" o:title=""/>
          </v:shape>
          <o:OLEObject Type="Embed" ProgID="Excel.Sheet.12" ShapeID="ole_rId7" DrawAspect="Content" ObjectID="_966114974" r:id="rId7"/>
        </w:object>
        <w:drawing>
          <wp:anchor behindDoc="0" distT="0" distB="0" distL="0" distR="0" simplePos="0" locked="0" layoutInCell="1" allowOverlap="1" relativeHeight="8">
            <wp:simplePos x="0" y="0"/>
            <wp:positionH relativeFrom="column">
              <wp:posOffset>-16510</wp:posOffset>
            </wp:positionH>
            <wp:positionV relativeFrom="paragraph">
              <wp:posOffset>3074670</wp:posOffset>
            </wp:positionV>
            <wp:extent cx="6256020" cy="1348740"/>
            <wp:effectExtent l="0" t="0" r="0" b="0"/>
            <wp:wrapNone/>
            <wp:docPr id="4" name="obráze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12" descr=""/>
                    <pic:cNvPicPr>
                      <a:picLocks noChangeAspect="1" noChangeArrowheads="1"/>
                    </pic:cNvPicPr>
                  </pic:nvPicPr>
                  <pic:blipFill>
                    <a:blip r:embed="rId6"/>
                    <a:srcRect l="28492" t="52378" r="22860" b="28850"/>
                    <a:stretch>
                      <a:fillRect/>
                    </a:stretch>
                  </pic:blipFill>
                  <pic:spPr bwMode="auto">
                    <a:xfrm>
                      <a:off x="0" y="0"/>
                      <a:ext cx="6256020" cy="1348740"/>
                    </a:xfrm>
                    <a:prstGeom prst="rect">
                      <a:avLst/>
                    </a:prstGeom>
                  </pic:spPr>
                </pic:pic>
              </a:graphicData>
            </a:graphic>
          </wp:anchor>
        </w:drawing>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drawing>
          <wp:anchor behindDoc="0" distT="0" distB="0" distL="0" distR="0" simplePos="0" locked="0" layoutInCell="1" allowOverlap="1" relativeHeight="9">
            <wp:simplePos x="0" y="0"/>
            <wp:positionH relativeFrom="column">
              <wp:posOffset>-16510</wp:posOffset>
            </wp:positionH>
            <wp:positionV relativeFrom="paragraph">
              <wp:posOffset>73025</wp:posOffset>
            </wp:positionV>
            <wp:extent cx="6175375" cy="3007995"/>
            <wp:effectExtent l="0" t="0" r="0" b="0"/>
            <wp:wrapNone/>
            <wp:docPr id="5" name="obráze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19" descr=""/>
                    <pic:cNvPicPr>
                      <a:picLocks noChangeAspect="1" noChangeArrowheads="1"/>
                    </pic:cNvPicPr>
                  </pic:nvPicPr>
                  <pic:blipFill>
                    <a:blip r:embed="rId9"/>
                    <a:srcRect l="28417" t="33340" r="24858" b="25858"/>
                    <a:stretch>
                      <a:fillRect/>
                    </a:stretch>
                  </pic:blipFill>
                  <pic:spPr bwMode="auto">
                    <a:xfrm>
                      <a:off x="0" y="0"/>
                      <a:ext cx="6175375" cy="3007995"/>
                    </a:xfrm>
                    <a:prstGeom prst="rect">
                      <a:avLst/>
                    </a:prstGeom>
                  </pic:spPr>
                </pic:pic>
              </a:graphicData>
            </a:graphic>
          </wp:anchor>
        </w:drawing>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drawing>
          <wp:anchor behindDoc="0" distT="0" distB="0" distL="0" distR="0" simplePos="0" locked="0" layoutInCell="1" allowOverlap="1" relativeHeight="10">
            <wp:simplePos x="0" y="0"/>
            <wp:positionH relativeFrom="column">
              <wp:posOffset>-16510</wp:posOffset>
            </wp:positionH>
            <wp:positionV relativeFrom="paragraph">
              <wp:posOffset>107950</wp:posOffset>
            </wp:positionV>
            <wp:extent cx="6178550" cy="1541780"/>
            <wp:effectExtent l="0" t="0" r="0" b="0"/>
            <wp:wrapNone/>
            <wp:docPr id="6" name="obráze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23" descr=""/>
                    <pic:cNvPicPr>
                      <a:picLocks noChangeAspect="1" noChangeArrowheads="1"/>
                    </pic:cNvPicPr>
                  </pic:nvPicPr>
                  <pic:blipFill>
                    <a:blip r:embed="rId10"/>
                    <a:srcRect l="26423" t="29680" r="21990" b="39321"/>
                    <a:stretch>
                      <a:fillRect/>
                    </a:stretch>
                  </pic:blipFill>
                  <pic:spPr bwMode="auto">
                    <a:xfrm>
                      <a:off x="0" y="0"/>
                      <a:ext cx="6178550" cy="1541780"/>
                    </a:xfrm>
                    <a:prstGeom prst="rect">
                      <a:avLst/>
                    </a:prstGeom>
                  </pic:spPr>
                </pic:pic>
              </a:graphicData>
            </a:graphic>
          </wp:anchor>
        </w:drawing>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pPr>
      <w:r>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color w:val="000000"/>
          <w:sz w:val="22"/>
        </w:rPr>
      </w:pPr>
      <w:r>
        <w:rPr>
          <w:color w:val="000000"/>
          <w:sz w:val="22"/>
        </w:rPr>
      </w:r>
    </w:p>
    <w:p>
      <w:pPr>
        <w:pStyle w:val="Odstavecseseznamem1"/>
        <w:spacing w:before="0" w:after="0"/>
        <w:ind w:left="0" w:hanging="0"/>
        <w:contextualSpacing/>
        <w:jc w:val="both"/>
        <w:rPr/>
      </w:pPr>
      <w:r>
        <w:rPr>
          <w:color w:val="000000"/>
          <w:sz w:val="22"/>
        </w:rPr>
        <w:t>Tabuľka 8 Proces DI -  plán aktivít</w:t>
      </w:r>
    </w:p>
    <w:p>
      <w:pPr>
        <w:pStyle w:val="Odstavecseseznamem1"/>
        <w:spacing w:before="0" w:after="0"/>
        <w:ind w:left="0" w:hanging="0"/>
        <w:contextualSpacing/>
        <w:jc w:val="both"/>
        <w:rPr>
          <w:color w:val="000000"/>
          <w:sz w:val="22"/>
        </w:rPr>
      </w:pPr>
      <w:r>
        <w:rPr>
          <w:color w:val="000000"/>
          <w:sz w:val="22"/>
        </w:rPr>
        <w:t>Legenda-červeným sú zrealizované aktivity</w:t>
      </w:r>
    </w:p>
    <w:p>
      <w:pPr>
        <w:pStyle w:val="Odstavecseseznamem1"/>
        <w:spacing w:before="0" w:after="0"/>
        <w:ind w:left="0" w:hanging="0"/>
        <w:contextualSpacing/>
        <w:jc w:val="both"/>
        <w:rPr>
          <w:color w:val="000000"/>
          <w:sz w:val="22"/>
        </w:rPr>
      </w:pPr>
      <w:r>
        <w:rPr>
          <w:color w:val="000000"/>
          <w:sz w:val="22"/>
        </w:rPr>
      </w:r>
    </w:p>
    <w:p>
      <w:pPr>
        <w:pStyle w:val="Normal"/>
        <w:spacing w:before="0" w:after="0"/>
        <w:rPr/>
      </w:pPr>
      <w:r>
        <w:rPr>
          <w:sz w:val="22"/>
        </w:rPr>
        <w:t>Jednotlivé aktivity budú pravidelne  / 1x mesačne /  vyhodnocované v pracovných skupinách:</w:t>
      </w:r>
    </w:p>
    <w:p>
      <w:pPr>
        <w:pStyle w:val="Odstavecseseznamem1"/>
        <w:numPr>
          <w:ilvl w:val="0"/>
          <w:numId w:val="11"/>
        </w:numPr>
        <w:spacing w:before="0" w:after="0"/>
        <w:contextualSpacing/>
        <w:rPr/>
      </w:pPr>
      <w:r>
        <w:rPr>
          <w:sz w:val="22"/>
        </w:rPr>
        <w:t>Transformačného tímu</w:t>
      </w:r>
    </w:p>
    <w:p>
      <w:pPr>
        <w:pStyle w:val="Odstavecseseznamem1"/>
        <w:numPr>
          <w:ilvl w:val="0"/>
          <w:numId w:val="11"/>
        </w:numPr>
        <w:spacing w:before="0" w:after="0"/>
        <w:contextualSpacing/>
        <w:rPr/>
      </w:pPr>
      <w:r>
        <w:rPr>
          <w:sz w:val="22"/>
        </w:rPr>
        <w:t>Vedúcich prevádzok</w:t>
      </w:r>
    </w:p>
    <w:p>
      <w:pPr>
        <w:pStyle w:val="Odstavecseseznamem1"/>
        <w:numPr>
          <w:ilvl w:val="0"/>
          <w:numId w:val="11"/>
        </w:numPr>
        <w:spacing w:before="0" w:after="0"/>
        <w:contextualSpacing/>
        <w:rPr/>
      </w:pPr>
      <w:r>
        <w:rPr>
          <w:sz w:val="22"/>
        </w:rPr>
        <w:t>Koordinátorov IP</w:t>
      </w:r>
    </w:p>
    <w:p>
      <w:pPr>
        <w:pStyle w:val="Odstavecseseznamem1"/>
        <w:numPr>
          <w:ilvl w:val="0"/>
          <w:numId w:val="11"/>
        </w:numPr>
        <w:spacing w:before="0" w:after="0"/>
        <w:contextualSpacing/>
        <w:rPr/>
      </w:pPr>
      <w:r>
        <w:rPr>
          <w:sz w:val="22"/>
        </w:rPr>
        <w:t>Podporných skupinách IP pre jednotlivých prijímateľov</w:t>
      </w:r>
    </w:p>
    <w:p>
      <w:pPr>
        <w:pStyle w:val="Odstavecseseznamem1"/>
        <w:numPr>
          <w:ilvl w:val="0"/>
          <w:numId w:val="11"/>
        </w:numPr>
        <w:spacing w:before="0" w:after="0"/>
        <w:contextualSpacing/>
        <w:rPr/>
      </w:pPr>
      <w:r>
        <w:rPr>
          <w:sz w:val="22"/>
        </w:rPr>
        <w:t>Pravidelných stretnutiach s prijímateľmi  v prevádzkach</w:t>
      </w:r>
    </w:p>
    <w:p>
      <w:pPr>
        <w:pStyle w:val="Odstavecseseznamem1"/>
        <w:numPr>
          <w:ilvl w:val="0"/>
          <w:numId w:val="11"/>
        </w:numPr>
        <w:spacing w:before="0" w:after="0"/>
        <w:contextualSpacing/>
        <w:rPr/>
      </w:pPr>
      <w:r>
        <w:rPr>
          <w:sz w:val="22"/>
        </w:rPr>
        <w:t>Neformálnych podporných skupinách (partnerská skupina, skupina sebaobhajcov</w:t>
      </w:r>
    </w:p>
    <w:p>
      <w:pPr>
        <w:pStyle w:val="Nadpis21"/>
        <w:spacing w:before="240" w:after="0"/>
        <w:ind w:left="1070" w:hanging="360"/>
        <w:contextualSpacing/>
        <w:rPr/>
      </w:pPr>
      <w:r>
        <w:rPr/>
      </w:r>
    </w:p>
    <w:p>
      <w:pPr>
        <w:pStyle w:val="Nadpis21"/>
        <w:spacing w:before="240" w:after="0"/>
        <w:ind w:left="1070" w:hanging="360"/>
        <w:contextualSpacing/>
        <w:rPr/>
      </w:pPr>
      <w:bookmarkStart w:id="18" w:name="_Toc71021267"/>
      <w:r>
        <w:rPr/>
        <w:t>3.4. Plán tvorby podpory participácie rodinných príslušníkov na tvorbe a realizácii jeho aktivít</w:t>
      </w:r>
      <w:bookmarkEnd w:id="18"/>
    </w:p>
    <w:p>
      <w:pPr>
        <w:pStyle w:val="Normal"/>
        <w:rPr/>
      </w:pPr>
      <w:r>
        <w:rPr/>
      </w:r>
    </w:p>
    <w:p>
      <w:pPr>
        <w:pStyle w:val="Odstavecseseznamem1"/>
        <w:spacing w:before="0" w:after="0"/>
        <w:ind w:left="0" w:firstLine="708"/>
        <w:contextualSpacing/>
        <w:jc w:val="both"/>
        <w:rPr/>
      </w:pPr>
      <w:r>
        <w:rPr>
          <w:sz w:val="22"/>
        </w:rPr>
        <w:t>Stotožnenie sa rodinných príslušníkov prijímateľov a ďalších dôležitých osôb v ich životoch je dôležitým aspektom úspešnosti realizácie Transformačného plánu. Ochranársky postoj rodičov k svojím dospelým deťom, prípadne súrodencov k prijímateľom sociálnych služieb  so špecifickými potrebami môže pôsobiť ako brzda v osamostatňovaní sa prijímateľov zariadenia a ich zotrvávania v nevhodných, limitujúcich sociálnych službách, ktoré nenapĺňajú ich potreby a záujmy. Spôsob komunikácie s rodinnými príslušníkmi je bližšie špecifikovaný v komunikačnej stratégii Transformačného plánu.  Za účelom objektívneho informovania rodinných príslušníkov sa zrealizujú tieto aktivity.</w:t>
      </w:r>
    </w:p>
    <w:p>
      <w:pPr>
        <w:pStyle w:val="Odstavecseseznamem1"/>
        <w:spacing w:lineRule="atLeast" w:line="22" w:before="0" w:after="0"/>
        <w:ind w:left="0" w:hanging="0"/>
        <w:contextualSpacing/>
        <w:jc w:val="both"/>
        <w:rPr>
          <w:rFonts w:ascii="Calibri" w:hAnsi="Calibri" w:cs="Calibri"/>
          <w:sz w:val="22"/>
        </w:rPr>
      </w:pPr>
      <w:r>
        <w:rPr>
          <w:rFonts w:cs="Calibri" w:ascii="Calibri" w:hAnsi="Calibri"/>
          <w:sz w:val="22"/>
        </w:rPr>
      </w:r>
    </w:p>
    <w:p>
      <w:pPr>
        <w:pStyle w:val="Odstavecseseznamem1"/>
        <w:spacing w:lineRule="atLeast" w:line="22"/>
        <w:ind w:left="0" w:hanging="0"/>
        <w:jc w:val="both"/>
        <w:rPr>
          <w:rFonts w:ascii="Calibri" w:hAnsi="Calibri" w:cs="Calibri"/>
          <w:sz w:val="22"/>
        </w:rPr>
      </w:pPr>
      <w:r>
        <w:rPr>
          <w:rFonts w:cs="Calibri" w:ascii="Calibri" w:hAnsi="Calibri"/>
          <w:sz w:val="22"/>
        </w:rPr>
      </w:r>
    </w:p>
    <w:tbl>
      <w:tblPr>
        <w:tblW w:w="9200" w:type="dxa"/>
        <w:jc w:val="center"/>
        <w:tblInd w:w="0" w:type="dxa"/>
        <w:tblCellMar>
          <w:top w:w="0" w:type="dxa"/>
          <w:left w:w="108" w:type="dxa"/>
          <w:bottom w:w="0" w:type="dxa"/>
          <w:right w:w="108" w:type="dxa"/>
        </w:tblCellMar>
        <w:tblLook w:val="0000"/>
      </w:tblPr>
      <w:tblGrid>
        <w:gridCol w:w="1056"/>
        <w:gridCol w:w="4673"/>
        <w:gridCol w:w="1498"/>
        <w:gridCol w:w="1972"/>
      </w:tblGrid>
      <w:tr>
        <w:trPr>
          <w:trHeight w:val="336" w:hRule="atLeast"/>
        </w:trPr>
        <w:tc>
          <w:tcPr>
            <w:tcW w:w="5729" w:type="dxa"/>
            <w:gridSpan w:val="2"/>
            <w:tcBorders>
              <w:top w:val="single" w:sz="4" w:space="0" w:color="000000"/>
              <w:left w:val="single" w:sz="4" w:space="0" w:color="000000"/>
              <w:bottom w:val="single" w:sz="4" w:space="0" w:color="000000"/>
              <w:right w:val="single" w:sz="4" w:space="0" w:color="000000"/>
            </w:tcBorders>
            <w:shd w:color="auto" w:fill="A1E7FD" w:val="clear"/>
          </w:tcPr>
          <w:p>
            <w:pPr>
              <w:pStyle w:val="Odstavecseseznamem1"/>
              <w:spacing w:lineRule="auto" w:line="240" w:before="0" w:after="0"/>
              <w:ind w:left="0" w:hanging="0"/>
              <w:contextualSpacing/>
              <w:jc w:val="both"/>
              <w:rPr/>
            </w:pPr>
            <w:r>
              <w:rPr>
                <w:rFonts w:cs="Calibri" w:ascii="Calibri" w:hAnsi="Calibri"/>
                <w:b/>
                <w:bCs/>
                <w:sz w:val="20"/>
              </w:rPr>
              <w:t>Aktivita</w:t>
            </w:r>
          </w:p>
        </w:tc>
        <w:tc>
          <w:tcPr>
            <w:tcW w:w="1498"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uto" w:line="240" w:before="0" w:after="0"/>
              <w:ind w:left="0" w:hanging="0"/>
              <w:contextualSpacing/>
              <w:jc w:val="both"/>
              <w:rPr/>
            </w:pPr>
            <w:r>
              <w:rPr>
                <w:rFonts w:cs="Calibri" w:ascii="Calibri" w:hAnsi="Calibri"/>
                <w:b/>
                <w:bCs/>
                <w:sz w:val="20"/>
              </w:rPr>
              <w:t>Časový rámec</w:t>
            </w:r>
          </w:p>
        </w:tc>
        <w:tc>
          <w:tcPr>
            <w:tcW w:w="1972"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uto" w:line="240" w:before="0" w:after="0"/>
              <w:ind w:left="0" w:hanging="0"/>
              <w:contextualSpacing/>
              <w:jc w:val="both"/>
              <w:rPr/>
            </w:pPr>
            <w:r>
              <w:rPr>
                <w:rFonts w:cs="Calibri" w:ascii="Calibri" w:hAnsi="Calibri"/>
                <w:b/>
                <w:bCs/>
                <w:sz w:val="20"/>
              </w:rPr>
              <w:t>Zodpovednosť</w:t>
            </w:r>
          </w:p>
        </w:tc>
      </w:tr>
      <w:tr>
        <w:trPr>
          <w:trHeight w:val="719" w:hRule="atLeast"/>
        </w:trPr>
        <w:tc>
          <w:tcPr>
            <w:tcW w:w="1056"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tLeast" w:line="22" w:before="0" w:after="0"/>
              <w:ind w:left="0" w:hanging="0"/>
              <w:contextualSpacing/>
              <w:jc w:val="both"/>
              <w:rPr/>
            </w:pPr>
            <w:r>
              <w:rPr>
                <w:rFonts w:cs="Calibri" w:ascii="Calibri" w:hAnsi="Calibri"/>
                <w:b/>
                <w:bCs/>
                <w:sz w:val="20"/>
              </w:rPr>
              <w:t>Aktivita 1</w:t>
            </w:r>
          </w:p>
        </w:tc>
        <w:tc>
          <w:tcPr>
            <w:tcW w:w="4673" w:type="dxa"/>
            <w:tcBorders>
              <w:top w:val="single" w:sz="4" w:space="0" w:color="000000"/>
              <w:left w:val="single" w:sz="4" w:space="0" w:color="000000"/>
              <w:bottom w:val="single" w:sz="4" w:space="0" w:color="000000"/>
              <w:right w:val="single" w:sz="4" w:space="0" w:color="000000"/>
            </w:tcBorders>
            <w:shd w:color="auto" w:fill="auto" w:val="clear"/>
          </w:tcPr>
          <w:p>
            <w:pPr>
              <w:pStyle w:val="Odstavecseseznamem1"/>
              <w:spacing w:lineRule="auto" w:line="240" w:before="0" w:after="0"/>
              <w:ind w:left="0" w:hanging="0"/>
              <w:contextualSpacing/>
              <w:jc w:val="both"/>
              <w:rPr/>
            </w:pPr>
            <w:r>
              <w:rPr>
                <w:rFonts w:cs="Calibri" w:ascii="Calibri" w:hAnsi="Calibri"/>
                <w:bCs/>
                <w:sz w:val="20"/>
              </w:rPr>
              <w:t>Predstavenie Transformačného plánu rodinným príslušníkom spojená s diskusiou a spoločným plánovaním</w:t>
            </w:r>
          </w:p>
        </w:tc>
        <w:tc>
          <w:tcPr>
            <w:tcW w:w="14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jc w:val="center"/>
              <w:rPr>
                <w:rFonts w:ascii="Calibri" w:hAnsi="Calibri" w:cs="Calibri"/>
                <w:bCs/>
                <w:sz w:val="20"/>
              </w:rPr>
            </w:pPr>
            <w:r>
              <w:rPr>
                <w:rFonts w:cs="Calibri" w:ascii="Calibri" w:hAnsi="Calibri"/>
                <w:bCs/>
                <w:sz w:val="20"/>
              </w:rPr>
              <w:t>2019 - 2020</w:t>
            </w:r>
          </w:p>
        </w:tc>
        <w:tc>
          <w:tcPr>
            <w:tcW w:w="1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jc w:val="both"/>
              <w:rPr/>
            </w:pPr>
            <w:r>
              <w:rPr>
                <w:rFonts w:cs="Calibri" w:ascii="Calibri" w:hAnsi="Calibri"/>
                <w:bCs/>
                <w:sz w:val="20"/>
              </w:rPr>
              <w:t>riaditeľka</w:t>
            </w:r>
          </w:p>
          <w:p>
            <w:pPr>
              <w:pStyle w:val="Odstavecseseznamem1"/>
              <w:spacing w:lineRule="auto" w:line="240" w:before="0" w:after="0"/>
              <w:ind w:left="0" w:hanging="0"/>
              <w:contextualSpacing/>
              <w:jc w:val="both"/>
              <w:rPr/>
            </w:pPr>
            <w:r>
              <w:rPr>
                <w:rFonts w:cs="Calibri" w:ascii="Calibri" w:hAnsi="Calibri"/>
                <w:bCs/>
                <w:sz w:val="20"/>
              </w:rPr>
              <w:t>vedúci úsekov</w:t>
            </w:r>
          </w:p>
          <w:p>
            <w:pPr>
              <w:pStyle w:val="Odstavecseseznamem1"/>
              <w:spacing w:lineRule="auto" w:line="240" w:before="0" w:after="0"/>
              <w:ind w:left="0" w:hanging="0"/>
              <w:contextualSpacing/>
              <w:jc w:val="both"/>
              <w:rPr>
                <w:rFonts w:ascii="Calibri" w:hAnsi="Calibri" w:cs="Calibri"/>
                <w:bCs/>
                <w:sz w:val="20"/>
              </w:rPr>
            </w:pPr>
            <w:r>
              <w:rPr>
                <w:rFonts w:cs="Calibri" w:ascii="Calibri" w:hAnsi="Calibri"/>
                <w:bCs/>
                <w:sz w:val="20"/>
              </w:rPr>
            </w:r>
          </w:p>
        </w:tc>
      </w:tr>
      <w:tr>
        <w:trPr>
          <w:trHeight w:val="422" w:hRule="atLeast"/>
        </w:trPr>
        <w:tc>
          <w:tcPr>
            <w:tcW w:w="1056"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tLeast" w:line="22" w:before="0" w:after="0"/>
              <w:ind w:left="0" w:hanging="0"/>
              <w:contextualSpacing/>
              <w:jc w:val="both"/>
              <w:rPr/>
            </w:pPr>
            <w:r>
              <w:rPr>
                <w:rFonts w:cs="Calibri" w:ascii="Calibri" w:hAnsi="Calibri"/>
                <w:b/>
                <w:bCs/>
                <w:sz w:val="20"/>
              </w:rPr>
              <w:t>Aktivita 2</w:t>
            </w:r>
          </w:p>
        </w:tc>
        <w:tc>
          <w:tcPr>
            <w:tcW w:w="4673" w:type="dxa"/>
            <w:tcBorders>
              <w:top w:val="single" w:sz="4" w:space="0" w:color="000000"/>
              <w:left w:val="single" w:sz="4" w:space="0" w:color="000000"/>
              <w:bottom w:val="single" w:sz="4" w:space="0" w:color="000000"/>
              <w:right w:val="single" w:sz="4" w:space="0" w:color="000000"/>
            </w:tcBorders>
            <w:shd w:color="auto" w:fill="auto" w:val="clear"/>
          </w:tcPr>
          <w:p>
            <w:pPr>
              <w:pStyle w:val="Odstavecseseznamem1"/>
              <w:spacing w:lineRule="auto" w:line="240" w:before="0" w:after="0"/>
              <w:ind w:left="0" w:hanging="0"/>
              <w:contextualSpacing/>
              <w:jc w:val="both"/>
              <w:rPr/>
            </w:pPr>
            <w:r>
              <w:rPr>
                <w:rFonts w:cs="Calibri" w:ascii="Calibri" w:hAnsi="Calibri"/>
                <w:bCs/>
                <w:sz w:val="20"/>
              </w:rPr>
              <w:t xml:space="preserve">Zapojenie rodinných príslušníkov do podporných skupín IP </w:t>
            </w:r>
          </w:p>
        </w:tc>
        <w:tc>
          <w:tcPr>
            <w:tcW w:w="14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jc w:val="center"/>
              <w:rPr>
                <w:rFonts w:ascii="Calibri" w:hAnsi="Calibri" w:cs="Calibri"/>
                <w:bCs/>
                <w:sz w:val="20"/>
              </w:rPr>
            </w:pPr>
            <w:r>
              <w:rPr>
                <w:rFonts w:cs="Calibri" w:ascii="Calibri" w:hAnsi="Calibri"/>
                <w:bCs/>
                <w:sz w:val="20"/>
              </w:rPr>
              <w:t>2019 - 2023</w:t>
            </w:r>
          </w:p>
        </w:tc>
        <w:tc>
          <w:tcPr>
            <w:tcW w:w="1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jc w:val="both"/>
              <w:rPr/>
            </w:pPr>
            <w:r>
              <w:rPr>
                <w:rFonts w:cs="Calibri" w:ascii="Calibri" w:hAnsi="Calibri"/>
                <w:bCs/>
                <w:sz w:val="20"/>
              </w:rPr>
              <w:t>koordinátori IP</w:t>
            </w:r>
          </w:p>
          <w:p>
            <w:pPr>
              <w:pStyle w:val="Odstavecseseznamem1"/>
              <w:spacing w:lineRule="auto" w:line="240" w:before="0" w:after="0"/>
              <w:ind w:left="0" w:hanging="0"/>
              <w:contextualSpacing/>
              <w:jc w:val="both"/>
              <w:rPr/>
            </w:pPr>
            <w:r>
              <w:rPr>
                <w:rFonts w:cs="Calibri" w:ascii="Calibri" w:hAnsi="Calibri"/>
                <w:bCs/>
                <w:sz w:val="20"/>
              </w:rPr>
              <w:t xml:space="preserve">kľúčoví zamestnanci </w:t>
            </w:r>
          </w:p>
        </w:tc>
      </w:tr>
      <w:tr>
        <w:trPr>
          <w:trHeight w:val="572" w:hRule="atLeast"/>
        </w:trPr>
        <w:tc>
          <w:tcPr>
            <w:tcW w:w="1056"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tLeast" w:line="22" w:before="0" w:after="0"/>
              <w:ind w:left="0" w:hanging="0"/>
              <w:contextualSpacing/>
              <w:jc w:val="both"/>
              <w:rPr/>
            </w:pPr>
            <w:r>
              <w:rPr>
                <w:rFonts w:cs="Calibri" w:ascii="Calibri" w:hAnsi="Calibri"/>
                <w:b/>
                <w:bCs/>
                <w:sz w:val="20"/>
              </w:rPr>
              <w:t>Aktivita 3</w:t>
            </w:r>
          </w:p>
        </w:tc>
        <w:tc>
          <w:tcPr>
            <w:tcW w:w="4673" w:type="dxa"/>
            <w:tcBorders>
              <w:top w:val="single" w:sz="4" w:space="0" w:color="000000"/>
              <w:left w:val="single" w:sz="4" w:space="0" w:color="000000"/>
              <w:bottom w:val="single" w:sz="4" w:space="0" w:color="000000"/>
              <w:right w:val="single" w:sz="4" w:space="0" w:color="000000"/>
            </w:tcBorders>
            <w:shd w:color="auto" w:fill="auto" w:val="clear"/>
          </w:tcPr>
          <w:p>
            <w:pPr>
              <w:pStyle w:val="Odstavecseseznamem1"/>
              <w:spacing w:lineRule="auto" w:line="240" w:before="0" w:after="0"/>
              <w:ind w:left="0" w:hanging="0"/>
              <w:contextualSpacing/>
              <w:jc w:val="both"/>
              <w:rPr/>
            </w:pPr>
            <w:r>
              <w:rPr>
                <w:rFonts w:cs="Calibri" w:ascii="Calibri" w:hAnsi="Calibri"/>
                <w:bCs/>
                <w:sz w:val="20"/>
              </w:rPr>
              <w:t xml:space="preserve">Oboznamovanie  rodinných príslušníkov s IP, s potrebami, predstavami a snami ich príbuzného </w:t>
            </w:r>
          </w:p>
        </w:tc>
        <w:tc>
          <w:tcPr>
            <w:tcW w:w="14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jc w:val="center"/>
              <w:rPr>
                <w:rFonts w:ascii="Calibri" w:hAnsi="Calibri" w:cs="Calibri"/>
                <w:bCs/>
                <w:sz w:val="20"/>
              </w:rPr>
            </w:pPr>
            <w:r>
              <w:rPr>
                <w:rFonts w:cs="Calibri" w:ascii="Calibri" w:hAnsi="Calibri"/>
                <w:bCs/>
                <w:sz w:val="20"/>
              </w:rPr>
              <w:t>2019 - 2023</w:t>
            </w:r>
          </w:p>
        </w:tc>
        <w:tc>
          <w:tcPr>
            <w:tcW w:w="1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jc w:val="both"/>
              <w:rPr/>
            </w:pPr>
            <w:r>
              <w:rPr>
                <w:rFonts w:cs="Calibri" w:ascii="Calibri" w:hAnsi="Calibri"/>
                <w:bCs/>
                <w:sz w:val="20"/>
              </w:rPr>
              <w:t>koordinátori IP</w:t>
            </w:r>
          </w:p>
          <w:p>
            <w:pPr>
              <w:pStyle w:val="Odstavecseseznamem1"/>
              <w:spacing w:lineRule="auto" w:line="240" w:before="0" w:after="0"/>
              <w:ind w:left="0" w:hanging="0"/>
              <w:contextualSpacing/>
              <w:jc w:val="both"/>
              <w:rPr>
                <w:rFonts w:ascii="Calibri" w:hAnsi="Calibri" w:cs="Calibri"/>
                <w:bCs/>
                <w:sz w:val="20"/>
              </w:rPr>
            </w:pPr>
            <w:r>
              <w:rPr>
                <w:rFonts w:cs="Calibri" w:ascii="Calibri" w:hAnsi="Calibri"/>
                <w:bCs/>
                <w:sz w:val="20"/>
              </w:rPr>
              <w:t xml:space="preserve">kľúčoví zamestnanci </w:t>
            </w:r>
          </w:p>
        </w:tc>
      </w:tr>
      <w:tr>
        <w:trPr>
          <w:trHeight w:val="694" w:hRule="atLeast"/>
        </w:trPr>
        <w:tc>
          <w:tcPr>
            <w:tcW w:w="1056"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tLeast" w:line="22" w:before="0" w:after="0"/>
              <w:ind w:left="0" w:hanging="0"/>
              <w:contextualSpacing/>
              <w:jc w:val="both"/>
              <w:rPr/>
            </w:pPr>
            <w:r>
              <w:rPr>
                <w:rFonts w:cs="Calibri" w:ascii="Calibri" w:hAnsi="Calibri"/>
                <w:b/>
                <w:bCs/>
                <w:sz w:val="20"/>
              </w:rPr>
              <w:t>Aktivita 4</w:t>
            </w:r>
          </w:p>
        </w:tc>
        <w:tc>
          <w:tcPr>
            <w:tcW w:w="4673" w:type="dxa"/>
            <w:tcBorders>
              <w:top w:val="single" w:sz="4" w:space="0" w:color="000000"/>
              <w:left w:val="single" w:sz="4" w:space="0" w:color="000000"/>
              <w:bottom w:val="single" w:sz="4" w:space="0" w:color="000000"/>
              <w:right w:val="single" w:sz="4" w:space="0" w:color="000000"/>
            </w:tcBorders>
            <w:shd w:color="auto" w:fill="auto" w:val="clear"/>
          </w:tcPr>
          <w:p>
            <w:pPr>
              <w:pStyle w:val="Odstavecseseznamem1"/>
              <w:spacing w:lineRule="auto" w:line="240" w:before="0" w:after="0"/>
              <w:ind w:left="0" w:hanging="0"/>
              <w:contextualSpacing/>
              <w:jc w:val="both"/>
              <w:rPr/>
            </w:pPr>
            <w:r>
              <w:rPr>
                <w:rFonts w:cs="Calibri" w:ascii="Calibri" w:hAnsi="Calibri"/>
                <w:bCs/>
                <w:sz w:val="20"/>
              </w:rPr>
              <w:t>Zapojenie rodičov, príbuzných a opatrovníkov  do neformálnych skupinových aktivít (varenie gulášu, letné výlety, pracovné brigády, dobrovoľnícke dni a pod.)</w:t>
            </w:r>
          </w:p>
        </w:tc>
        <w:tc>
          <w:tcPr>
            <w:tcW w:w="14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jc w:val="center"/>
              <w:rPr>
                <w:rFonts w:ascii="Calibri" w:hAnsi="Calibri" w:cs="Calibri"/>
                <w:bCs/>
                <w:sz w:val="20"/>
              </w:rPr>
            </w:pPr>
            <w:r>
              <w:rPr>
                <w:rFonts w:cs="Calibri" w:ascii="Calibri" w:hAnsi="Calibri"/>
                <w:bCs/>
                <w:sz w:val="20"/>
              </w:rPr>
              <w:t>2019 - 2023</w:t>
            </w:r>
          </w:p>
        </w:tc>
        <w:tc>
          <w:tcPr>
            <w:tcW w:w="19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jc w:val="both"/>
              <w:rPr/>
            </w:pPr>
            <w:r>
              <w:rPr>
                <w:rFonts w:cs="Calibri" w:ascii="Calibri" w:hAnsi="Calibri"/>
                <w:bCs/>
                <w:sz w:val="20"/>
              </w:rPr>
              <w:t>vedúci úsekov</w:t>
            </w:r>
          </w:p>
        </w:tc>
      </w:tr>
    </w:tbl>
    <w:p>
      <w:pPr>
        <w:pStyle w:val="Odstavecseseznamem1"/>
        <w:spacing w:lineRule="atLeast" w:line="22"/>
        <w:ind w:left="-142" w:hanging="0"/>
        <w:jc w:val="both"/>
        <w:rPr>
          <w:sz w:val="22"/>
        </w:rPr>
      </w:pPr>
      <w:r>
        <w:rPr>
          <w:sz w:val="22"/>
        </w:rPr>
        <w:t>Tabuľka 9 Plán aktivít s rodinnými príslušníkmi</w:t>
      </w:r>
    </w:p>
    <w:p>
      <w:pPr>
        <w:pStyle w:val="Nadpis11"/>
        <w:rPr/>
      </w:pPr>
      <w:bookmarkStart w:id="19" w:name="_Toc71021268"/>
      <w:r>
        <w:rPr>
          <w:rStyle w:val="Odkazintenzivn1"/>
          <w:b/>
          <w:bCs w:val="false"/>
          <w:caps w:val="false"/>
          <w:smallCaps w:val="false"/>
          <w:color w:val="2F5496"/>
          <w:spacing w:val="0"/>
        </w:rPr>
        <w:t>4. ZDROJE V KOMUNITE</w:t>
      </w:r>
      <w:bookmarkEnd w:id="19"/>
    </w:p>
    <w:p>
      <w:pPr>
        <w:pStyle w:val="Nadpis21"/>
        <w:ind w:left="1070" w:hanging="360"/>
        <w:rPr/>
      </w:pPr>
      <w:bookmarkStart w:id="20" w:name="_Toc71021269"/>
      <w:r>
        <w:rPr/>
        <w:t>4.1. Vytypovanie lokalít a ich charakteristika</w:t>
      </w:r>
      <w:bookmarkEnd w:id="20"/>
    </w:p>
    <w:p>
      <w:pPr>
        <w:pStyle w:val="Normal"/>
        <w:spacing w:before="0" w:after="0"/>
        <w:contextualSpacing/>
        <w:jc w:val="both"/>
        <w:rPr>
          <w:sz w:val="22"/>
        </w:rPr>
      </w:pPr>
      <w:r>
        <w:rPr>
          <w:sz w:val="22"/>
        </w:rPr>
        <w:t xml:space="preserve">Pre plánovanie nových služieb je z územného hľadiska dôležité vytypovať lokality s rozvinutou občianskou infraštruktúrou a už existujúcimi zdrojmi v komunite. Pri ich výbere sme zvažovali faktory,  predovšetkým  dostupnosť ambulantných sociálnych služieb a verejných služieb – dostupná občianska vybavenosť, napr. obchody,  zdravotné strediská, pošta, reštaurácie, kostol, miestny úrad, MHD, kultúrne inštitúcie,  športoviská a pod. </w:t>
      </w:r>
    </w:p>
    <w:p>
      <w:pPr>
        <w:pStyle w:val="Normal"/>
        <w:spacing w:before="0" w:after="0"/>
        <w:contextualSpacing/>
        <w:jc w:val="both"/>
        <w:rPr>
          <w:sz w:val="22"/>
        </w:rPr>
      </w:pPr>
      <w:r>
        <w:rPr>
          <w:sz w:val="22"/>
        </w:rPr>
        <w:t>Pre plánovanie nových transformovaných sociálnych služieb v rámci Transformačného plánu DSS Ladomerská Vieska sa v Ladomerskej Vieske a Žiari nad Hronom  a jeho blízkom okolí  vytypovali nasledovné lokality:</w:t>
      </w:r>
    </w:p>
    <w:p>
      <w:pPr>
        <w:pStyle w:val="Normal"/>
        <w:spacing w:before="0" w:after="0"/>
        <w:contextualSpacing/>
        <w:jc w:val="both"/>
        <w:rPr>
          <w:sz w:val="22"/>
        </w:rPr>
      </w:pPr>
      <w:r>
        <w:rPr>
          <w:b/>
          <w:sz w:val="22"/>
        </w:rPr>
        <w:t>v prvej fáze transformácie</w:t>
      </w:r>
      <w:r>
        <w:rPr>
          <w:sz w:val="22"/>
        </w:rPr>
        <w:t xml:space="preserve">  územné lokality: </w:t>
      </w:r>
    </w:p>
    <w:p>
      <w:pPr>
        <w:pStyle w:val="Normal"/>
        <w:jc w:val="both"/>
        <w:rPr>
          <w:sz w:val="22"/>
          <w:szCs w:val="22"/>
        </w:rPr>
      </w:pPr>
      <w:r>
        <w:rPr>
          <w:sz w:val="22"/>
          <w:szCs w:val="22"/>
        </w:rPr>
        <w:t>obec Ladomerská Vieska / rodinné domy / a Mesto Žiar nad Hronom / pozemok /  </w:t>
      </w:r>
    </w:p>
    <w:p>
      <w:pPr>
        <w:pStyle w:val="Normal"/>
        <w:jc w:val="both"/>
        <w:rPr>
          <w:sz w:val="22"/>
        </w:rPr>
      </w:pPr>
      <w:r>
        <w:rPr>
          <w:sz w:val="22"/>
          <w:szCs w:val="22"/>
        </w:rPr>
        <w:t>v druhej fáze transformácie</w:t>
      </w:r>
      <w:r>
        <w:rPr>
          <w:rStyle w:val="St"/>
          <w:sz w:val="22"/>
          <w:szCs w:val="22"/>
        </w:rPr>
        <w:t xml:space="preserve"> sa </w:t>
      </w:r>
      <w:r>
        <w:rPr>
          <w:sz w:val="22"/>
          <w:szCs w:val="22"/>
        </w:rPr>
        <w:t>vytypovala lokalita :</w:t>
      </w:r>
    </w:p>
    <w:p>
      <w:pPr>
        <w:pStyle w:val="Normal"/>
        <w:jc w:val="both"/>
        <w:rPr>
          <w:sz w:val="22"/>
        </w:rPr>
      </w:pPr>
      <w:r>
        <w:rPr>
          <w:sz w:val="22"/>
          <w:szCs w:val="22"/>
        </w:rPr>
        <w:t>obec Stará Kremnička / rodinný dom /, vzdialená 5 km od centra Žiaru nad Hronom.</w:t>
      </w:r>
    </w:p>
    <w:p>
      <w:pPr>
        <w:pStyle w:val="Normal"/>
        <w:spacing w:before="0" w:after="0"/>
        <w:jc w:val="both"/>
        <w:rPr>
          <w:sz w:val="22"/>
          <w:szCs w:val="22"/>
        </w:rPr>
      </w:pPr>
      <w:r>
        <w:rPr>
          <w:sz w:val="22"/>
          <w:szCs w:val="22"/>
        </w:rPr>
      </w:r>
    </w:p>
    <w:p>
      <w:pPr>
        <w:pStyle w:val="Normal"/>
        <w:spacing w:before="0" w:after="0"/>
        <w:jc w:val="both"/>
        <w:rPr>
          <w:sz w:val="22"/>
          <w:szCs w:val="22"/>
        </w:rPr>
      </w:pPr>
      <w:r>
        <w:rPr>
          <w:sz w:val="22"/>
          <w:szCs w:val="22"/>
        </w:rPr>
        <w:t xml:space="preserve">Uvedené mestá a obce disponujú širokým spektrom bežne dostupných služieb </w:t>
      </w:r>
    </w:p>
    <w:p>
      <w:pPr>
        <w:pStyle w:val="ListParagraph"/>
        <w:numPr>
          <w:ilvl w:val="0"/>
          <w:numId w:val="33"/>
        </w:numPr>
        <w:spacing w:before="0" w:after="0"/>
        <w:contextualSpacing/>
        <w:rPr>
          <w:rFonts w:ascii="Times New Roman" w:hAnsi="Times New Roman"/>
        </w:rPr>
      </w:pPr>
      <w:r>
        <w:rPr>
          <w:rFonts w:ascii="Times New Roman" w:hAnsi="Times New Roman"/>
        </w:rPr>
        <w:t>obvodní a odborní lekári,</w:t>
      </w:r>
    </w:p>
    <w:p>
      <w:pPr>
        <w:pStyle w:val="ListParagraph"/>
        <w:numPr>
          <w:ilvl w:val="0"/>
          <w:numId w:val="33"/>
        </w:numPr>
        <w:spacing w:before="0" w:after="0"/>
        <w:contextualSpacing/>
        <w:rPr>
          <w:rFonts w:ascii="Times New Roman" w:hAnsi="Times New Roman"/>
        </w:rPr>
      </w:pPr>
      <w:r>
        <w:rPr>
          <w:rFonts w:ascii="Times New Roman" w:hAnsi="Times New Roman"/>
        </w:rPr>
        <w:t>obecné úrady,</w:t>
      </w:r>
    </w:p>
    <w:p>
      <w:pPr>
        <w:pStyle w:val="ListParagraph"/>
        <w:numPr>
          <w:ilvl w:val="0"/>
          <w:numId w:val="33"/>
        </w:numPr>
        <w:spacing w:before="0" w:after="0"/>
        <w:contextualSpacing/>
        <w:rPr>
          <w:rFonts w:ascii="Times New Roman" w:hAnsi="Times New Roman"/>
        </w:rPr>
      </w:pPr>
      <w:r>
        <w:rPr>
          <w:rFonts w:ascii="Times New Roman" w:hAnsi="Times New Roman"/>
        </w:rPr>
        <w:t>základné, stredné a špeciálne školy,</w:t>
      </w:r>
    </w:p>
    <w:p>
      <w:pPr>
        <w:pStyle w:val="ListParagraph"/>
        <w:numPr>
          <w:ilvl w:val="0"/>
          <w:numId w:val="33"/>
        </w:numPr>
        <w:spacing w:before="0" w:after="0"/>
        <w:contextualSpacing/>
        <w:rPr>
          <w:rFonts w:ascii="Times New Roman" w:hAnsi="Times New Roman"/>
        </w:rPr>
      </w:pPr>
      <w:r>
        <w:rPr>
          <w:rFonts w:ascii="Times New Roman" w:hAnsi="Times New Roman"/>
        </w:rPr>
        <w:t>pošta, banky/bankomaty,</w:t>
      </w:r>
    </w:p>
    <w:p>
      <w:pPr>
        <w:pStyle w:val="ListParagraph"/>
        <w:numPr>
          <w:ilvl w:val="0"/>
          <w:numId w:val="33"/>
        </w:numPr>
        <w:spacing w:before="0" w:after="0"/>
        <w:contextualSpacing/>
        <w:rPr>
          <w:rFonts w:ascii="Times New Roman" w:hAnsi="Times New Roman"/>
        </w:rPr>
      </w:pPr>
      <w:r>
        <w:rPr>
          <w:rFonts w:ascii="Times New Roman" w:hAnsi="Times New Roman"/>
        </w:rPr>
        <w:t>nákupné strediská, rôzne obchody,</w:t>
      </w:r>
    </w:p>
    <w:p>
      <w:pPr>
        <w:pStyle w:val="ListParagraph"/>
        <w:numPr>
          <w:ilvl w:val="0"/>
          <w:numId w:val="33"/>
        </w:numPr>
        <w:spacing w:before="0" w:after="0"/>
        <w:contextualSpacing/>
        <w:rPr>
          <w:rFonts w:ascii="Times New Roman" w:hAnsi="Times New Roman"/>
        </w:rPr>
      </w:pPr>
      <w:r>
        <w:rPr>
          <w:rFonts w:ascii="Times New Roman" w:hAnsi="Times New Roman"/>
        </w:rPr>
        <w:t>služby: kaderník, manikúra, kozmetika,</w:t>
      </w:r>
    </w:p>
    <w:p>
      <w:pPr>
        <w:pStyle w:val="ListParagraph"/>
        <w:numPr>
          <w:ilvl w:val="0"/>
          <w:numId w:val="33"/>
        </w:numPr>
        <w:spacing w:before="0" w:after="0"/>
        <w:contextualSpacing/>
        <w:rPr>
          <w:rFonts w:ascii="Times New Roman" w:hAnsi="Times New Roman"/>
        </w:rPr>
      </w:pPr>
      <w:r>
        <w:rPr>
          <w:rFonts w:ascii="Times New Roman" w:hAnsi="Times New Roman"/>
        </w:rPr>
        <w:t>stravovacie služby,</w:t>
      </w:r>
    </w:p>
    <w:p>
      <w:pPr>
        <w:pStyle w:val="ListParagraph"/>
        <w:numPr>
          <w:ilvl w:val="0"/>
          <w:numId w:val="33"/>
        </w:numPr>
        <w:spacing w:before="0" w:after="0"/>
        <w:contextualSpacing/>
        <w:rPr>
          <w:rFonts w:ascii="Times New Roman" w:hAnsi="Times New Roman"/>
        </w:rPr>
      </w:pPr>
      <w:r>
        <w:rPr>
          <w:rFonts w:ascii="Times New Roman" w:hAnsi="Times New Roman"/>
        </w:rPr>
        <w:t>kultúrne strediská a spolky,</w:t>
      </w:r>
    </w:p>
    <w:p>
      <w:pPr>
        <w:pStyle w:val="ListParagraph"/>
        <w:numPr>
          <w:ilvl w:val="0"/>
          <w:numId w:val="33"/>
        </w:numPr>
        <w:spacing w:before="0" w:after="0"/>
        <w:contextualSpacing/>
        <w:rPr>
          <w:rFonts w:ascii="Times New Roman" w:hAnsi="Times New Roman"/>
        </w:rPr>
      </w:pPr>
      <w:r>
        <w:rPr>
          <w:rFonts w:ascii="Times New Roman" w:hAnsi="Times New Roman"/>
        </w:rPr>
        <w:t>katolícka a reformovaná cirkevná obec,</w:t>
      </w:r>
    </w:p>
    <w:p>
      <w:pPr>
        <w:pStyle w:val="ListParagraph"/>
        <w:numPr>
          <w:ilvl w:val="0"/>
          <w:numId w:val="33"/>
        </w:numPr>
        <w:spacing w:before="0" w:after="0"/>
        <w:contextualSpacing/>
        <w:rPr>
          <w:rFonts w:ascii="Times New Roman" w:hAnsi="Times New Roman"/>
        </w:rPr>
      </w:pPr>
      <w:r>
        <w:rPr>
          <w:rFonts w:ascii="Times New Roman" w:hAnsi="Times New Roman"/>
        </w:rPr>
        <w:t>telocvične a športové centrá,</w:t>
      </w:r>
    </w:p>
    <w:p>
      <w:pPr>
        <w:pStyle w:val="ListParagraph"/>
        <w:numPr>
          <w:ilvl w:val="0"/>
          <w:numId w:val="33"/>
        </w:numPr>
        <w:spacing w:before="0" w:after="0"/>
        <w:contextualSpacing/>
        <w:rPr>
          <w:rFonts w:ascii="Times New Roman" w:hAnsi="Times New Roman"/>
        </w:rPr>
      </w:pPr>
      <w:r>
        <w:rPr>
          <w:rFonts w:ascii="Times New Roman" w:hAnsi="Times New Roman"/>
        </w:rPr>
        <w:t>plaváreň,</w:t>
      </w:r>
    </w:p>
    <w:p>
      <w:pPr>
        <w:pStyle w:val="ListParagraph"/>
        <w:numPr>
          <w:ilvl w:val="0"/>
          <w:numId w:val="33"/>
        </w:numPr>
        <w:spacing w:before="0" w:after="0"/>
        <w:contextualSpacing/>
        <w:rPr>
          <w:rFonts w:ascii="Times New Roman" w:hAnsi="Times New Roman"/>
        </w:rPr>
      </w:pPr>
      <w:r>
        <w:rPr>
          <w:rFonts w:ascii="Times New Roman" w:hAnsi="Times New Roman"/>
        </w:rPr>
        <w:t>zimný štadión,</w:t>
      </w:r>
    </w:p>
    <w:p>
      <w:pPr>
        <w:pStyle w:val="ListParagraph"/>
        <w:numPr>
          <w:ilvl w:val="0"/>
          <w:numId w:val="33"/>
        </w:numPr>
        <w:spacing w:before="0" w:after="0"/>
        <w:ind w:left="714" w:hanging="357"/>
        <w:contextualSpacing/>
        <w:rPr>
          <w:rFonts w:ascii="Times New Roman" w:hAnsi="Times New Roman"/>
        </w:rPr>
      </w:pPr>
      <w:r>
        <w:rPr>
          <w:rFonts w:ascii="Times New Roman" w:hAnsi="Times New Roman"/>
        </w:rPr>
        <w:t>knižnice.</w:t>
      </w:r>
    </w:p>
    <w:p>
      <w:pPr>
        <w:pStyle w:val="Normal"/>
        <w:spacing w:before="0" w:after="0"/>
        <w:contextualSpacing/>
        <w:jc w:val="both"/>
        <w:rPr>
          <w:sz w:val="22"/>
        </w:rPr>
      </w:pPr>
      <w:r>
        <w:rPr>
          <w:sz w:val="22"/>
        </w:rPr>
      </w:r>
    </w:p>
    <w:p>
      <w:pPr>
        <w:pStyle w:val="Normal"/>
        <w:spacing w:before="0" w:after="0"/>
        <w:contextualSpacing/>
        <w:jc w:val="both"/>
        <w:rPr>
          <w:rStyle w:val="St"/>
          <w:sz w:val="22"/>
        </w:rPr>
      </w:pPr>
      <w:r>
        <w:rPr>
          <w:rStyle w:val="St"/>
          <w:sz w:val="22"/>
        </w:rPr>
        <w:t xml:space="preserve">Dôležitou časťou je aj hodnotenie dobrovoľníckeho potenciálu vybraných lokalít. </w:t>
      </w:r>
    </w:p>
    <w:p>
      <w:pPr>
        <w:pStyle w:val="Normal"/>
        <w:spacing w:before="0" w:after="0"/>
        <w:contextualSpacing/>
        <w:jc w:val="both"/>
        <w:rPr>
          <w:sz w:val="22"/>
        </w:rPr>
      </w:pPr>
      <w:r>
        <w:rPr>
          <w:rStyle w:val="St"/>
          <w:sz w:val="22"/>
        </w:rPr>
        <w:t>Detailná analýza vytypovaných lokalít je v prílohe č. 10 a v prílohe č.14.</w:t>
      </w:r>
    </w:p>
    <w:p>
      <w:pPr>
        <w:pStyle w:val="Normal"/>
        <w:spacing w:before="0" w:after="0"/>
        <w:contextualSpacing/>
        <w:jc w:val="both"/>
        <w:rPr>
          <w:sz w:val="22"/>
        </w:rPr>
      </w:pPr>
      <w:r>
        <w:rPr>
          <w:sz w:val="22"/>
        </w:rPr>
      </w:r>
    </w:p>
    <w:p>
      <w:pPr>
        <w:pStyle w:val="Normal"/>
        <w:spacing w:before="0" w:after="0"/>
        <w:rPr>
          <w:sz w:val="22"/>
        </w:rPr>
      </w:pPr>
      <w:r>
        <w:rPr>
          <w:sz w:val="22"/>
        </w:rPr>
      </w:r>
    </w:p>
    <w:p>
      <w:pPr>
        <w:pStyle w:val="Normal"/>
        <w:spacing w:lineRule="auto" w:line="240" w:before="0" w:after="0"/>
        <w:rPr>
          <w:rFonts w:ascii="Arial" w:hAnsi="Arial" w:cs="Arial"/>
          <w:sz w:val="22"/>
        </w:rPr>
      </w:pPr>
      <w:r>
        <w:rPr>
          <w:rFonts w:cs="Arial" w:ascii="Arial" w:hAnsi="Arial"/>
          <w:sz w:val="22"/>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spacing w:lineRule="atLeast" w:line="22" w:before="0" w:after="200"/>
        <w:contextualSpacing/>
        <w:jc w:val="both"/>
        <w:rPr>
          <w:lang w:eastAsia="sk-SK"/>
        </w:rPr>
      </w:pPr>
      <w:r>
        <w:rPr>
          <w:lang w:eastAsia="sk-SK"/>
        </w:rPr>
      </w:r>
    </w:p>
    <w:p>
      <w:pPr>
        <w:pStyle w:val="Normal"/>
        <w:rPr>
          <w:b/>
          <w:b/>
          <w:bCs/>
        </w:rPr>
      </w:pPr>
      <w:r>
        <w:drawing>
          <wp:anchor behindDoc="0" distT="0" distB="0" distL="0" distR="0" simplePos="0" locked="0" layoutInCell="1" allowOverlap="1" relativeHeight="5">
            <wp:simplePos x="0" y="0"/>
            <wp:positionH relativeFrom="column">
              <wp:posOffset>-22860</wp:posOffset>
            </wp:positionH>
            <wp:positionV relativeFrom="paragraph">
              <wp:posOffset>248920</wp:posOffset>
            </wp:positionV>
            <wp:extent cx="5895340" cy="3948430"/>
            <wp:effectExtent l="0" t="0" r="0" b="0"/>
            <wp:wrapNone/>
            <wp:docPr id="7" name="obráze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5" descr=""/>
                    <pic:cNvPicPr>
                      <a:picLocks noChangeAspect="1" noChangeArrowheads="1"/>
                    </pic:cNvPicPr>
                  </pic:nvPicPr>
                  <pic:blipFill>
                    <a:blip r:embed="rId11"/>
                    <a:srcRect l="29156" t="27388" r="29358" b="23202"/>
                    <a:stretch>
                      <a:fillRect/>
                    </a:stretch>
                  </pic:blipFill>
                  <pic:spPr bwMode="auto">
                    <a:xfrm>
                      <a:off x="0" y="0"/>
                      <a:ext cx="5895340" cy="3948430"/>
                    </a:xfrm>
                    <a:prstGeom prst="rect">
                      <a:avLst/>
                    </a:prstGeom>
                  </pic:spPr>
                </pic:pic>
              </a:graphicData>
            </a:graphic>
          </wp:anchor>
        </w:drawing>
      </w:r>
      <w:r>
        <w:rPr>
          <w:b/>
          <w:bCs/>
        </w:rPr>
        <w:t>M</w:t>
      </w:r>
      <w:r>
        <w:rPr>
          <w:b/>
          <w:bCs/>
        </w:rPr>
        <w:t>apa vybraných lokalít predeinštitucionalizáciuDSS Ladomerská Vieska</w:t>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w:rPr>
          <w:b/>
          <w:bCs/>
        </w:rPr>
      </w:r>
    </w:p>
    <w:p>
      <w:pPr>
        <w:pStyle w:val="Normal"/>
        <w:rPr>
          <w:b/>
          <w:b/>
          <w:bCs/>
        </w:rPr>
      </w:pPr>
      <w:r>
        <mc:AlternateContent>
          <mc:Choice Requires="wps">
            <w:drawing>
              <wp:anchor behindDoc="0" distT="0" distB="0" distL="114300" distR="114300" simplePos="0" locked="0" layoutInCell="1" allowOverlap="1" relativeHeight="7">
                <wp:simplePos x="0" y="0"/>
                <wp:positionH relativeFrom="column">
                  <wp:posOffset>335915</wp:posOffset>
                </wp:positionH>
                <wp:positionV relativeFrom="paragraph">
                  <wp:posOffset>264795</wp:posOffset>
                </wp:positionV>
                <wp:extent cx="490855" cy="198120"/>
                <wp:effectExtent l="0" t="0" r="0" b="0"/>
                <wp:wrapNone/>
                <wp:docPr id="8" name="Ovál 35"/>
                <a:graphic xmlns:a="http://schemas.openxmlformats.org/drawingml/2006/main">
                  <a:graphicData uri="http://schemas.microsoft.com/office/word/2010/wordprocessingShape">
                    <wps:wsp>
                      <wps:cNvSpPr/>
                      <wps:spPr>
                        <a:xfrm>
                          <a:off x="0" y="0"/>
                          <a:ext cx="490320" cy="197640"/>
                        </a:xfrm>
                        <a:prstGeom prst="ellipse">
                          <a:avLst/>
                        </a:prstGeom>
                        <a:solidFill>
                          <a:srgbClr val="ffc000">
                            <a:alpha val="31000"/>
                          </a:srgbClr>
                        </a:solidFill>
                        <a:ln w="12600">
                          <a:solidFill>
                            <a:srgbClr val="ff0000"/>
                          </a:solidFill>
                          <a:miter/>
                        </a:ln>
                      </wps:spPr>
                      <wps:bodyPr/>
                    </wps:wsp>
                  </a:graphicData>
                </a:graphic>
              </wp:anchor>
            </w:drawing>
          </mc:Choice>
          <mc:Fallback>
            <w:pict>
              <v:oval id="shape_0" ID="Ovál 35" fillcolor="#ffc000" stroked="t" style="position:absolute;margin-left:26.45pt;margin-top:20.85pt;width:38.55pt;height:15.5pt">
                <w10:wrap type="none"/>
                <v:fill o:detectmouseclick="t" type="solid" color2="#003fff" opacity="0.3"/>
                <v:stroke color="red" weight="12600" joinstyle="miter" endcap="flat"/>
              </v:oval>
            </w:pict>
          </mc:Fallback>
        </mc:AlternateContent>
      </w:r>
      <w:r>
        <w:rPr>
          <w:b/>
          <w:bCs/>
        </w:rPr>
        <w:t>L</w:t>
      </w:r>
      <w:r>
        <w:rPr>
          <w:b/>
          <w:bCs/>
        </w:rPr>
        <w:t xml:space="preserve">egenda:   </w:t>
      </w:r>
    </w:p>
    <w:p>
      <w:pPr>
        <w:pStyle w:val="Normal"/>
        <w:spacing w:lineRule="auto" w:line="240"/>
        <w:ind w:left="708" w:firstLine="708"/>
        <w:rPr/>
      </w:pPr>
      <w:r>
        <mc:AlternateContent>
          <mc:Choice Requires="wps">
            <w:drawing>
              <wp:anchor behindDoc="0" distT="0" distB="0" distL="114300" distR="114300" simplePos="0" locked="0" layoutInCell="1" allowOverlap="1" relativeHeight="6">
                <wp:simplePos x="0" y="0"/>
                <wp:positionH relativeFrom="column">
                  <wp:posOffset>337185</wp:posOffset>
                </wp:positionH>
                <wp:positionV relativeFrom="paragraph">
                  <wp:posOffset>243205</wp:posOffset>
                </wp:positionV>
                <wp:extent cx="483235" cy="212725"/>
                <wp:effectExtent l="0" t="0" r="0" b="0"/>
                <wp:wrapNone/>
                <wp:docPr id="9" name="Ovál 34"/>
                <a:graphic xmlns:a="http://schemas.openxmlformats.org/drawingml/2006/main">
                  <a:graphicData uri="http://schemas.microsoft.com/office/word/2010/wordprocessingShape">
                    <wps:wsp>
                      <wps:cNvSpPr/>
                      <wps:spPr>
                        <a:xfrm>
                          <a:off x="0" y="0"/>
                          <a:ext cx="482760" cy="212040"/>
                        </a:xfrm>
                        <a:prstGeom prst="ellipse">
                          <a:avLst/>
                        </a:prstGeom>
                        <a:solidFill>
                          <a:srgbClr val="ff5050">
                            <a:alpha val="31000"/>
                          </a:srgbClr>
                        </a:solidFill>
                        <a:ln w="12600">
                          <a:solidFill>
                            <a:srgbClr val="ff0000"/>
                          </a:solidFill>
                          <a:miter/>
                        </a:ln>
                      </wps:spPr>
                      <wps:bodyPr/>
                    </wps:wsp>
                  </a:graphicData>
                </a:graphic>
              </wp:anchor>
            </w:drawing>
          </mc:Choice>
          <mc:Fallback>
            <w:pict>
              <v:oval id="shape_0" ID="Ovál 34" fillcolor="#ff5050" stroked="t" style="position:absolute;margin-left:26.55pt;margin-top:19.15pt;width:37.95pt;height:16.65pt">
                <w10:wrap type="none"/>
                <v:fill o:detectmouseclick="t" type="solid" color2="#00afaf" opacity="0.3"/>
                <v:stroke color="red" weight="12600" joinstyle="miter" endcap="flat"/>
              </v:oval>
            </w:pict>
          </mc:Fallback>
        </mc:AlternateContent>
      </w:r>
      <w:r>
        <w:rPr/>
        <w:t>O</w:t>
      </w:r>
      <w:r>
        <w:rPr/>
        <w:t>bce/mestské časti so základnou občianskou vybavenosťou</w:t>
      </w:r>
    </w:p>
    <w:p>
      <w:pPr>
        <w:pStyle w:val="Normal"/>
        <w:spacing w:lineRule="auto" w:line="240"/>
        <w:ind w:left="708" w:firstLine="708"/>
        <w:rPr/>
      </w:pPr>
      <w:r>
        <w:rPr/>
        <w:t>Mestá s vyššou občianskou vybavenosťou</w:t>
      </w:r>
    </w:p>
    <w:p>
      <w:pPr>
        <w:pStyle w:val="Normal"/>
        <w:rPr>
          <w:rStyle w:val="Odkazintenzivn1"/>
          <w:caps w:val="false"/>
          <w:smallCaps w:val="false"/>
          <w:color w:val="auto"/>
          <w:spacing w:val="0"/>
        </w:rPr>
      </w:pPr>
      <w:r>
        <w:rPr>
          <w:caps w:val="false"/>
          <w:smallCaps w:val="false"/>
          <w:color w:val="auto"/>
          <w:spacing w:val="0"/>
        </w:rPr>
      </w:r>
    </w:p>
    <w:p>
      <w:pPr>
        <w:pStyle w:val="Nadpis11"/>
        <w:rPr/>
      </w:pPr>
      <w:bookmarkStart w:id="21" w:name="_Toc71021270"/>
      <w:r>
        <w:rPr>
          <w:rStyle w:val="Odkazintenzivn1"/>
          <w:b/>
          <w:bCs w:val="false"/>
          <w:caps w:val="false"/>
          <w:smallCaps w:val="false"/>
          <w:color w:val="2F5496"/>
          <w:spacing w:val="0"/>
        </w:rPr>
        <w:t>5. NOVÉ SLUŽBY</w:t>
      </w:r>
      <w:bookmarkEnd w:id="21"/>
    </w:p>
    <w:p>
      <w:pPr>
        <w:pStyle w:val="Nadpis21"/>
        <w:ind w:left="710" w:hanging="0"/>
        <w:rPr/>
      </w:pPr>
      <w:bookmarkStart w:id="22" w:name="_Toc71021271"/>
      <w:r>
        <w:rPr/>
        <w:t xml:space="preserve">5.1. </w:t>
      </w:r>
      <w:bookmarkStart w:id="23" w:name="_Hlk70424087"/>
      <w:r>
        <w:rPr/>
        <w:t>Charakteristika nových služieb poskytovaných  v rámci DSS Ladomerská Vieska v prvej etape transformácie</w:t>
      </w:r>
      <w:bookmarkEnd w:id="22"/>
      <w:bookmarkEnd w:id="23"/>
    </w:p>
    <w:p>
      <w:pPr>
        <w:pStyle w:val="Normal"/>
        <w:spacing w:lineRule="atLeast" w:line="22" w:before="0" w:after="200"/>
        <w:contextualSpacing/>
        <w:rPr>
          <w:rFonts w:ascii="Calibri" w:hAnsi="Calibri" w:cs="Calibri"/>
          <w:b/>
          <w:b/>
          <w:sz w:val="22"/>
        </w:rPr>
      </w:pPr>
      <w:r>
        <w:rPr>
          <w:rFonts w:cs="Calibri" w:ascii="Calibri" w:hAnsi="Calibri"/>
          <w:b/>
          <w:sz w:val="22"/>
        </w:rPr>
      </w:r>
    </w:p>
    <w:p>
      <w:pPr>
        <w:pStyle w:val="Normal"/>
        <w:spacing w:before="0" w:after="0"/>
        <w:contextualSpacing/>
        <w:jc w:val="both"/>
        <w:rPr>
          <w:b/>
          <w:b/>
          <w:bCs/>
          <w:sz w:val="22"/>
          <w:szCs w:val="22"/>
        </w:rPr>
      </w:pPr>
      <w:r>
        <w:rPr>
          <w:b/>
          <w:bCs/>
          <w:sz w:val="22"/>
          <w:szCs w:val="22"/>
        </w:rPr>
        <w:t>ŠPECIALIZOVANÉ ZARIADENIE pre prijímateľov s psychiatrickou diagnózou schizofrénia, organický psychosyndróm a mentálna retardácia</w:t>
      </w:r>
    </w:p>
    <w:p>
      <w:pPr>
        <w:pStyle w:val="Normal"/>
        <w:spacing w:before="0" w:after="0"/>
        <w:contextualSpacing/>
        <w:jc w:val="both"/>
        <w:rPr>
          <w:sz w:val="22"/>
          <w:szCs w:val="22"/>
        </w:rPr>
      </w:pPr>
      <w:r>
        <w:rPr>
          <w:sz w:val="22"/>
          <w:szCs w:val="22"/>
        </w:rPr>
      </w:r>
    </w:p>
    <w:p>
      <w:pPr>
        <w:pStyle w:val="Normal"/>
        <w:spacing w:before="0" w:after="0"/>
        <w:contextualSpacing/>
        <w:jc w:val="both"/>
        <w:rPr>
          <w:sz w:val="22"/>
          <w:szCs w:val="22"/>
        </w:rPr>
      </w:pPr>
      <w:r>
        <w:rPr>
          <w:sz w:val="22"/>
          <w:szCs w:val="22"/>
        </w:rPr>
        <w:t>Potreba tejto služby neustále rastie. Ide o nepretržitú pobytovú službu s celoročnou formou. Zriadenie tejto služby  bude v dvoch objektoch  a to v Dankovom dome, kde bude 12 PSS a v objekte Baboje dom č. 164 v obci Ladomerská Vieska, kde nájde domov takisto 12 PSS .  Táto  služba  je určená  najmä pre PSS  so strednou a vyššou mierou podpory.</w:t>
      </w:r>
    </w:p>
    <w:p>
      <w:pPr>
        <w:pStyle w:val="Normal"/>
        <w:spacing w:before="0" w:after="0"/>
        <w:jc w:val="both"/>
        <w:rPr>
          <w:rFonts w:eastAsia="Times New Roman"/>
          <w:iCs/>
          <w:sz w:val="22"/>
          <w:szCs w:val="22"/>
          <w:lang w:eastAsia="sk-SK"/>
        </w:rPr>
      </w:pPr>
      <w:r>
        <w:rPr>
          <w:rFonts w:eastAsia="Times New Roman"/>
          <w:iCs/>
          <w:sz w:val="22"/>
          <w:szCs w:val="22"/>
          <w:lang w:eastAsia="sk-SK"/>
        </w:rPr>
        <w:t xml:space="preserve">V jednom objekte bude umiestnených 12 prijímateľov sociálnej pomoci. Bude im poskytovaná sociálna služba – špecializované zariadenie. Ide o nepretržitú pobytovú službu s celoročnou formou. </w:t>
      </w:r>
      <w:r>
        <w:rPr>
          <w:rFonts w:eastAsia="Times New Roman"/>
          <w:iCs/>
          <w:sz w:val="22"/>
          <w:szCs w:val="22"/>
          <w:u w:val="single"/>
          <w:lang w:eastAsia="sk-SK"/>
        </w:rPr>
        <w:t>Špecializované zariadenie je služba pre fyzickú osobu, ktorá je odkázaná na pomoc inej fyzickej osoby, jej stupeň odkázanosti je najmenej V podľa prílohy č. 3 zákona č. 448/2008 a má zdravotné postihnutie, ktorým je najmä Parkinsonova choroba, Alzheimerova choroba, pervazívna vývinová porucha, skleróza multiplex, schizofrénia, demencia rôzneho typu etiológie, hluchoslepota, AIDS alebo organický psychosyndróm ťažkého stupňa.</w:t>
      </w:r>
      <w:r>
        <w:rPr>
          <w:rFonts w:eastAsia="Times New Roman"/>
          <w:iCs/>
          <w:sz w:val="22"/>
          <w:szCs w:val="22"/>
          <w:lang w:eastAsia="sk-SK"/>
        </w:rPr>
        <w:t xml:space="preserve"> Služba bude poskytovaná v objekte s dvoma bytovými jednotkami. V každej z nich bude ubytovaných po 6 osôb. Priestory sú navrhnuté ako plne bezbariérové. Ide o bytové jednotky rodinného typu, s plným funkčným vybavením a priestorovým zázemím (kuchyňa s jedálňou, WC, kúpeľňa, obývačka a dve spálne). Súčasťou objektu je priestor pre personál so samostatným vstupom. Prijímatelia sociálnej služby budú mať poskytovanú službu na základe individuálneho posúdenia stavu a preferencií. Súčasťou budú aj odborné činnosti a podporné činnosti vykonávané v priestoroch oddelených od ubytovania. Konkrétne v objekte hlavnej budovy, kde sú vytvorené priestorové a materiálno-technické podmienky pre rôznorodé aktivity s klientmi.</w:t>
      </w:r>
    </w:p>
    <w:p>
      <w:pPr>
        <w:pStyle w:val="Normal"/>
        <w:spacing w:before="0" w:after="0"/>
        <w:contextualSpacing/>
        <w:jc w:val="both"/>
        <w:rPr>
          <w:b/>
          <w:b/>
          <w:sz w:val="22"/>
          <w:szCs w:val="22"/>
        </w:rPr>
      </w:pPr>
      <w:r>
        <w:rPr>
          <w:b/>
          <w:sz w:val="22"/>
          <w:szCs w:val="22"/>
        </w:rPr>
      </w:r>
    </w:p>
    <w:p>
      <w:pPr>
        <w:pStyle w:val="Normal"/>
        <w:spacing w:before="0" w:after="0"/>
        <w:contextualSpacing/>
        <w:rPr>
          <w:sz w:val="22"/>
          <w:szCs w:val="22"/>
        </w:rPr>
      </w:pPr>
      <w:r>
        <w:rPr>
          <w:b/>
          <w:bCs/>
          <w:sz w:val="22"/>
          <w:szCs w:val="22"/>
        </w:rPr>
        <w:t>ZARIADENIE PODPOROVANÉHO BÝVANIA</w:t>
      </w:r>
    </w:p>
    <w:p>
      <w:pPr>
        <w:pStyle w:val="Normal"/>
        <w:spacing w:before="0" w:after="0"/>
        <w:ind w:left="720" w:hanging="0"/>
        <w:contextualSpacing/>
        <w:rPr>
          <w:sz w:val="22"/>
          <w:szCs w:val="22"/>
        </w:rPr>
      </w:pPr>
      <w:r>
        <w:rPr>
          <w:sz w:val="22"/>
          <w:szCs w:val="22"/>
        </w:rPr>
      </w:r>
    </w:p>
    <w:p>
      <w:pPr>
        <w:pStyle w:val="Normal"/>
        <w:spacing w:before="0" w:after="0"/>
        <w:contextualSpacing/>
        <w:jc w:val="both"/>
        <w:rPr>
          <w:sz w:val="22"/>
          <w:szCs w:val="22"/>
        </w:rPr>
      </w:pPr>
      <w:r>
        <w:rPr>
          <w:sz w:val="22"/>
          <w:szCs w:val="22"/>
        </w:rPr>
        <w:t>Služby zariadenia podporovaného bývania sa budú  poskytovať pobytovou formou celoročne  pre 12 prijímateľov v 1 objekte. Táto  služba  je určená   pre PSS do dosiahnutia dôchodkového veku najmä  so strednou a vyššou mierou podpory.</w:t>
      </w:r>
    </w:p>
    <w:p>
      <w:pPr>
        <w:pStyle w:val="Normal"/>
        <w:spacing w:before="0" w:after="0"/>
        <w:contextualSpacing/>
        <w:jc w:val="both"/>
        <w:rPr>
          <w:sz w:val="22"/>
          <w:szCs w:val="22"/>
        </w:rPr>
      </w:pPr>
      <w:r>
        <w:rPr>
          <w:sz w:val="22"/>
          <w:szCs w:val="22"/>
        </w:rPr>
        <w:t>Zariadenie podporovaného  bývania s celoročným pobytom sa bude poskytovať v dvoch bytových jednotkách – novostavba  v Žiari nad Hronom ul. Partizánska,  kde sa bude poskytovať táto služba pre 12 PSS.</w:t>
      </w:r>
    </w:p>
    <w:p>
      <w:pPr>
        <w:pStyle w:val="Normal"/>
        <w:spacing w:before="0" w:after="0"/>
        <w:contextualSpacing/>
        <w:jc w:val="both"/>
        <w:rPr>
          <w:sz w:val="22"/>
          <w:szCs w:val="22"/>
        </w:rPr>
      </w:pPr>
      <w:r>
        <w:rPr>
          <w:rFonts w:eastAsia="Times New Roman"/>
          <w:iCs/>
          <w:sz w:val="22"/>
          <w:szCs w:val="22"/>
          <w:u w:val="single"/>
          <w:lang w:eastAsia="sk-SK"/>
        </w:rPr>
        <w:t>V zariadení podporovaného bývania sa poskytuje sociálna služba fyzickej osobe od 16. roku veku do dovŕšenia dôchodkového veku, ak je táto fyzická osoba odkázaná na pomoc inej fyzickej osoby podľa prílohy č. 3 zákona č. 448/2008 a na dohľad, pod ktorým je schopná viesť samostatný život. </w:t>
      </w:r>
      <w:r>
        <w:rPr>
          <w:rFonts w:eastAsia="Times New Roman"/>
          <w:iCs/>
          <w:sz w:val="22"/>
          <w:szCs w:val="22"/>
          <w:lang w:eastAsia="sk-SK"/>
        </w:rPr>
        <w:t xml:space="preserve">Táto služba bude poskytovaná vjednom  objekte. V objekte sú vytvorené 2 bytové jednotky, pričom v jednej bytovej jednotke je ubytovaných 6 osôb. Spolu sa tak vytvorí 12  miestna kapacita pre túto službu. Priestory sú navrhnuté ako plne bezbariérové. Ide o bytové jednotky rodinného typu, s plným funkčným vybavením a priestorovým zázemím (kuchyňa s jedálňou, WC, kúpeľňa, obývačka a dve spálne). Súčasťou objektu je priestor pre personál so samostatným vstupom. </w:t>
      </w:r>
      <w:r>
        <w:rPr>
          <w:rFonts w:eastAsia="Times New Roman"/>
          <w:iCs/>
          <w:sz w:val="22"/>
          <w:szCs w:val="22"/>
          <w:u w:val="single"/>
          <w:lang w:eastAsia="sk-SK"/>
        </w:rPr>
        <w:t>Služba je určená pre osoby s postihnutím, ale miera postihnutia umožňuje samostatný život.</w:t>
      </w:r>
      <w:r>
        <w:rPr>
          <w:rFonts w:eastAsia="Times New Roman"/>
          <w:iCs/>
          <w:sz w:val="22"/>
          <w:szCs w:val="22"/>
          <w:lang w:eastAsia="sk-SK"/>
        </w:rPr>
        <w:t xml:space="preserve"> Na podporu samostatnosti a sebestačnosti týchto klientov sú projektom vytvorené predpoklady priestorové, materiálno-technické. Poskytovateľ zabezpečí adekvátne personálne zázemie. Služba bude poskytovaná komunitnou formou. S prijímateľmi sociálnej služby bude vykonávaná odborná a podporná činnosť v objekte oddelenom od ubytovania, aby sa dosiahla normalizácia životných aktivít (napríklad odstránenie stereotypu a rutiny, pasivity a pod., ku ktorým mohol viesť inštitucionálny spôsob života), aby boli začlenení do života komunity, a najmä aby boli klienti podporení v samostatnom a sebestačnom živote (napríklad zapájaním do zamestnania).</w:t>
      </w:r>
    </w:p>
    <w:p>
      <w:pPr>
        <w:pStyle w:val="Normal"/>
        <w:spacing w:before="0" w:after="0"/>
        <w:contextualSpacing/>
        <w:jc w:val="both"/>
        <w:rPr>
          <w:sz w:val="22"/>
          <w:szCs w:val="22"/>
        </w:rPr>
      </w:pPr>
      <w:r>
        <w:rPr>
          <w:sz w:val="22"/>
          <w:szCs w:val="22"/>
        </w:rPr>
      </w:r>
    </w:p>
    <w:p>
      <w:pPr>
        <w:pStyle w:val="Normal"/>
        <w:spacing w:before="0" w:after="0"/>
        <w:contextualSpacing/>
        <w:jc w:val="both"/>
        <w:rPr>
          <w:sz w:val="22"/>
          <w:szCs w:val="22"/>
        </w:rPr>
      </w:pPr>
      <w:r>
        <w:rPr>
          <w:sz w:val="22"/>
          <w:szCs w:val="22"/>
        </w:rPr>
      </w:r>
    </w:p>
    <w:p>
      <w:pPr>
        <w:pStyle w:val="Normal"/>
        <w:spacing w:lineRule="auto" w:line="240" w:before="0" w:after="0"/>
        <w:contextualSpacing/>
        <w:jc w:val="both"/>
        <w:rPr>
          <w:b/>
          <w:b/>
          <w:sz w:val="22"/>
          <w:szCs w:val="22"/>
        </w:rPr>
      </w:pPr>
      <w:r>
        <w:rPr>
          <w:b/>
          <w:sz w:val="22"/>
          <w:szCs w:val="22"/>
        </w:rPr>
        <w:t>CENTRUM DENNÝCH AKTIVÍT</w:t>
      </w:r>
    </w:p>
    <w:p>
      <w:pPr>
        <w:pStyle w:val="Normal"/>
        <w:spacing w:lineRule="auto" w:line="240" w:before="0" w:after="0"/>
        <w:contextualSpacing/>
        <w:jc w:val="both"/>
        <w:rPr>
          <w:sz w:val="22"/>
          <w:szCs w:val="22"/>
        </w:rPr>
      </w:pPr>
      <w:r>
        <w:rPr>
          <w:sz w:val="22"/>
          <w:szCs w:val="22"/>
        </w:rPr>
      </w:r>
    </w:p>
    <w:p>
      <w:pPr>
        <w:pStyle w:val="Normal"/>
        <w:shd w:val="clear" w:color="auto" w:fill="FFFFFF" w:themeFill="background1"/>
        <w:spacing w:before="0" w:after="0"/>
        <w:jc w:val="both"/>
        <w:rPr/>
      </w:pPr>
      <w:r>
        <w:rPr>
          <w:sz w:val="22"/>
          <w:szCs w:val="22"/>
        </w:rPr>
        <w:t>V súlade so Stratégiou deinštitucionalizácie je potrebné denné aktivity zabezpečovať v inom objekte ako prijímateľ sociálnej služby býva. Ide o priblíženie sa bežnému životu človeka v rodinnom prostredí, ktorý realizuje rôzne aktivity aj mimo svojho domova.  Preto pre prijímateľov sociálnej služby bude vytvorený priestor na denné aktivity. V Centre denných aktivít v obci Ladomerská Vieska</w:t>
      </w:r>
      <w:r>
        <w:rPr>
          <w:rFonts w:eastAsia="Times New Roman"/>
          <w:iCs/>
          <w:sz w:val="22"/>
          <w:szCs w:val="22"/>
          <w:lang w:eastAsia="sk-SK"/>
        </w:rPr>
        <w:t xml:space="preserve"> budú realizované suchérehabilitačné a socializačné aktivity. Tieto aktivity majú za cieľ klientov rozvíjať, poskytnúť im priestor na sebarealizáciu a napomôcť im rozvíjať vzťahy s okolím (iní klienti, rodina, širšia komunita). Svojou podstatou sa budeme orientovať na skupinu osôb zdravotne postihnutých alebo znevýhodnených, pričom cieľom je poskytnúť im podporu na to, aby mohli viesť plnohodnotný život, čo najviac podobný životu ľudí bez postihnutia a umožniť im návrat do komunity.</w:t>
      </w:r>
      <w:r>
        <w:rPr>
          <w:sz w:val="22"/>
          <w:szCs w:val="22"/>
        </w:rPr>
        <w:t xml:space="preserve">  Tieto služby plánujeme poskytovať v tomto objekte aj pre širší okruh záujemcov z komunity. Predpokladáme kapacitu 20 miest. Prax ukáže ako nastavíme pomer klientov, k pomeru záujemcov z komunity. Závisieť to bude od požiadavky z komunity.</w:t>
      </w:r>
    </w:p>
    <w:p>
      <w:pPr>
        <w:pStyle w:val="Normal"/>
        <w:spacing w:before="0" w:after="0"/>
        <w:jc w:val="both"/>
        <w:rPr>
          <w:sz w:val="22"/>
          <w:szCs w:val="22"/>
        </w:rPr>
      </w:pPr>
      <w:r>
        <w:rPr>
          <w:sz w:val="22"/>
          <w:szCs w:val="22"/>
        </w:rPr>
      </w:r>
    </w:p>
    <w:p>
      <w:pPr>
        <w:pStyle w:val="Annotationtext"/>
        <w:jc w:val="both"/>
        <w:rPr>
          <w:sz w:val="22"/>
          <w:szCs w:val="22"/>
        </w:rPr>
      </w:pPr>
      <w:r>
        <w:rPr>
          <w:sz w:val="22"/>
          <w:szCs w:val="22"/>
        </w:rPr>
        <w:t xml:space="preserve">V súlade zo zákonom o SS plánujeme vytvoriť priestor pre prijímateľov, ktorí budú bývať v rôznych formách bývania, na denné aktivity rozvíjajúce sociálne a komunikačné zručnosti (§16 ods.1, písm. e, 448/2008 Z.z. o sociálnych službách, sociálna rehabilitácia  ) a rozvoj pracovných zručnosti (§16 ods.1, písm. g, 448/2008 Z.z. o sociálnych službách. Po zmapovaní zdrojov v komunite zmapujeme aj možnosti priameho zamestnávania, ktoré môže byť dennou aktivitou pre niektorých prijímateľov (CHD, CHP, SP, otvorený trh práce). Podporu prijímateľov smerom k  týmto aktivitám môžeme zabezpečiť formou špecializovaného sociálneho poradenstva (16 ods.1, písm. b, 448/2008 Z.z. o sociálnych službách),  ktoré môže byť podporou pre prijímateľov v komunite teda v teréne. </w:t>
      </w:r>
    </w:p>
    <w:p>
      <w:pPr>
        <w:pStyle w:val="Annotationtext"/>
        <w:rPr/>
      </w:pPr>
      <w:r>
        <w:rPr>
          <w:sz w:val="22"/>
          <w:szCs w:val="22"/>
        </w:rPr>
        <w:t xml:space="preserve">Podporné služby: sprevádzanie, pracovný asistent aj osobná asistencia.  </w:t>
      </w:r>
    </w:p>
    <w:p>
      <w:pPr>
        <w:pStyle w:val="Annotationtext"/>
        <w:jc w:val="both"/>
        <w:rPr>
          <w:sz w:val="22"/>
          <w:szCs w:val="22"/>
        </w:rPr>
      </w:pPr>
      <w:r>
        <w:rPr>
          <w:sz w:val="22"/>
          <w:szCs w:val="22"/>
        </w:rPr>
        <w:t>Pracovný asistent- predpokladáme, že PSS budú postupne integrovaní na pracovný trh.  S  ohľadom na zdravotný stav PSS so ZP bude potrebné, aby niektoré činnosti  súvisiace s osobným výkonom boli vykonávané za pomoci pracovného asistenta. Tak chceme dosiahnuť lepšiu adaptáciu na prácu ako takú aj so začlenením klienta do majoritnej skupiny.</w:t>
      </w:r>
    </w:p>
    <w:p>
      <w:pPr>
        <w:pStyle w:val="Annotationtext"/>
        <w:jc w:val="both"/>
        <w:rPr>
          <w:sz w:val="22"/>
          <w:szCs w:val="22"/>
        </w:rPr>
      </w:pPr>
      <w:r>
        <w:rPr>
          <w:sz w:val="22"/>
          <w:szCs w:val="22"/>
        </w:rPr>
        <w:t xml:space="preserve">Osobná asistencia- Sociálny pracovník v spolupráci s PSS zanalyzuje, pri ktorých činnostiach a úkonoch  bude  PSS potrebovať pomoc osobného asistenta. Pri určovaní potrebného rozsahu osobnej asistencie budeme zohľadňovať  frekvenciu činností, či budú vykonávané každodenne, týždenne, mesačne, sezónne a ročne. Účelom osobnej asistencie bude  aktivizácia, podpora sociálneho začlenenia a podpora nezávislosti a možnosti PSS  rozhodovať o sebe, rozhodovať o svojom živote,  organizovať svoje každodenné aktivity. Úlohou osobného asistenta bude pomáhať klientovi s postihnutím vykonávať tie aktivity, ktoré by občan  rovnakého veku bez zdravotného postihnutia vykonával bežne sám, bez asistencie a pomoci inej osoby. Miera potrebnej pomoci a každodenné aktivity sú u každého klienta iné, závisia od jeho osobnostných predpokladov, životného štýlu a aktivít. </w:t>
      </w:r>
    </w:p>
    <w:p>
      <w:pPr>
        <w:pStyle w:val="Annotationtext"/>
        <w:jc w:val="both"/>
        <w:rPr>
          <w:sz w:val="22"/>
          <w:szCs w:val="22"/>
        </w:rPr>
      </w:pPr>
      <w:r>
        <w:rPr>
          <w:sz w:val="22"/>
          <w:szCs w:val="22"/>
        </w:rPr>
        <w:t>Vzhľadom na uvedené skutočnosti  budeme zase o krok bližšie k integrácii a inklúzií PSS a k slobodnému rozhodovaniu sa o sebe. Nastavením nových služieb umožníme  prijímateľom sociálnych služieb život  v prostredí podobnom rodinnému, ktorý im zabezpečí pokrytie nielen základných potrieb, ale bude podporovať ich socializáciu, vytváranie možností pre uplatňovanie a rozvoj ich schopností. Nové služby budú adresnejšie s dôrazom na individualitu prijímateľov, podporovať budú ich začlenenie do komunity a bežného života.</w:t>
      </w:r>
    </w:p>
    <w:p>
      <w:pPr>
        <w:pStyle w:val="Annotationtext"/>
        <w:jc w:val="both"/>
        <w:rPr>
          <w:sz w:val="22"/>
          <w:szCs w:val="22"/>
        </w:rPr>
      </w:pPr>
      <w:r>
        <w:rPr>
          <w:sz w:val="22"/>
          <w:szCs w:val="22"/>
        </w:rPr>
      </w:r>
    </w:p>
    <w:p>
      <w:pPr>
        <w:pStyle w:val="Normal"/>
        <w:jc w:val="both"/>
        <w:rPr>
          <w:b/>
          <w:b/>
          <w:bCs/>
          <w:i/>
          <w:i/>
        </w:rPr>
      </w:pPr>
      <w:r>
        <w:rPr>
          <w:b/>
          <w:bCs/>
          <w:sz w:val="22"/>
          <w:szCs w:val="22"/>
        </w:rPr>
        <w:t>Pôvodná sociálna služba</w:t>
      </w:r>
    </w:p>
    <w:p>
      <w:pPr>
        <w:pStyle w:val="Normal"/>
        <w:jc w:val="both"/>
        <w:rPr>
          <w:sz w:val="22"/>
          <w:szCs w:val="22"/>
        </w:rPr>
      </w:pPr>
      <w:r>
        <w:rPr>
          <w:b/>
          <w:bCs/>
          <w:sz w:val="22"/>
          <w:szCs w:val="22"/>
        </w:rPr>
        <w:t xml:space="preserve">DOMOV SOCIÁLNYCH SLUŽIEB </w:t>
      </w:r>
      <w:r>
        <w:rPr>
          <w:sz w:val="22"/>
          <w:szCs w:val="22"/>
        </w:rPr>
        <w:t>– V zmysle zákona aj po I. etape  transformácie sa bude naďalej poskytovať služba – Domov sociálnych služieb v zníženej kapacite 14 osôb (pôvodne 50 osôb). Táto služba bude poskytovaná v objekte kaštieľa, ktorý nie je predmetom projektu.</w:t>
      </w:r>
    </w:p>
    <w:p>
      <w:pPr>
        <w:pStyle w:val="Normal"/>
        <w:spacing w:before="0" w:after="0"/>
        <w:contextualSpacing/>
        <w:jc w:val="both"/>
        <w:rPr>
          <w:sz w:val="22"/>
          <w:szCs w:val="22"/>
        </w:rPr>
      </w:pPr>
      <w:r>
        <w:rPr>
          <w:sz w:val="22"/>
          <w:szCs w:val="22"/>
        </w:rPr>
        <w:t xml:space="preserve">Transformácia služieb  poskytovaných  v kaštieli bude predmetom II. etapy </w:t>
      </w:r>
      <w:r>
        <w:rPr>
          <w:i/>
          <w:sz w:val="22"/>
          <w:szCs w:val="22"/>
        </w:rPr>
        <w:t>transformácie. Predbežne sme vytypovali  lokalitu v obci Stará Kremnička s vytvorením nového objektu pre 12 PSS. Zariadenie bude žiadať zriaďovateľa- BBSK- o zníženie kapacity PSS, aby spĺňalo podmienku, že v jednej bytovej jednotke môže byť umiestnených 6 PSS.</w:t>
      </w:r>
    </w:p>
    <w:p>
      <w:pPr>
        <w:pStyle w:val="Nadpis21"/>
        <w:ind w:left="720" w:firstLine="709"/>
        <w:rPr/>
      </w:pPr>
      <w:r>
        <w:rPr/>
      </w:r>
    </w:p>
    <w:p>
      <w:pPr>
        <w:pStyle w:val="Nadpis21"/>
        <w:ind w:left="720" w:hanging="11"/>
        <w:rPr/>
      </w:pPr>
      <w:bookmarkStart w:id="24" w:name="_Toc71021272"/>
      <w:r>
        <w:rPr/>
        <w:t>5.2. Charakteristika nových služieb poskytovaných  v rámci DSS Ladomerská Vieska v druhej etape transformácie (cca rok 2024)</w:t>
      </w:r>
      <w:bookmarkEnd w:id="24"/>
    </w:p>
    <w:p>
      <w:pPr>
        <w:pStyle w:val="Normal"/>
        <w:shd w:val="clear" w:color="auto" w:fill="FFFFFF" w:themeFill="background1"/>
        <w:spacing w:before="0" w:after="0"/>
        <w:jc w:val="both"/>
        <w:rPr>
          <w:rFonts w:eastAsia="Times New Roman"/>
          <w:iCs/>
          <w:sz w:val="22"/>
          <w:szCs w:val="22"/>
          <w:lang w:eastAsia="sk-SK"/>
        </w:rPr>
      </w:pPr>
      <w:r>
        <w:rPr>
          <w:sz w:val="22"/>
          <w:szCs w:val="22"/>
          <w:lang w:eastAsia="sk-SK"/>
        </w:rPr>
        <w:t>Súčasťou transformačného plánu DSS je po zohľadnení lokálnych potrieb obyv</w:t>
      </w:r>
      <w:r>
        <w:rPr>
          <w:rFonts w:eastAsia="Times New Roman"/>
          <w:iCs/>
          <w:sz w:val="22"/>
          <w:szCs w:val="22"/>
          <w:lang w:eastAsia="sk-SK"/>
        </w:rPr>
        <w:t xml:space="preserve">ateľov dotknutej lokality plánované aj prípadné </w:t>
      </w:r>
      <w:r>
        <w:rPr>
          <w:rFonts w:eastAsia="Times New Roman"/>
          <w:i/>
          <w:iCs/>
          <w:sz w:val="22"/>
          <w:szCs w:val="22"/>
          <w:u w:val="single"/>
          <w:lang w:eastAsia="sk-SK"/>
        </w:rPr>
        <w:t>rozšírenie ponuky sociálnych služieb</w:t>
      </w:r>
      <w:r>
        <w:rPr>
          <w:rFonts w:eastAsia="Times New Roman"/>
          <w:iCs/>
          <w:sz w:val="22"/>
          <w:szCs w:val="22"/>
          <w:lang w:eastAsia="sk-SK"/>
        </w:rPr>
        <w:t xml:space="preserve"> v nasledujúcej etape transformačného procesu a to konkrétne o poskytovanie terénnej sociálnej služby – podpora samostatného bývania. </w:t>
      </w:r>
    </w:p>
    <w:p>
      <w:pPr>
        <w:pStyle w:val="Normal"/>
        <w:spacing w:before="0" w:after="0"/>
        <w:jc w:val="both"/>
        <w:rPr>
          <w:rFonts w:eastAsia="Times New Roman"/>
          <w:iCs/>
          <w:sz w:val="22"/>
          <w:szCs w:val="22"/>
          <w:lang w:eastAsia="sk-SK"/>
        </w:rPr>
      </w:pPr>
      <w:r>
        <w:rPr>
          <w:rFonts w:eastAsia="Times New Roman"/>
          <w:iCs/>
          <w:sz w:val="22"/>
          <w:szCs w:val="22"/>
          <w:lang w:eastAsia="sk-SK"/>
        </w:rPr>
      </w:r>
    </w:p>
    <w:p>
      <w:pPr>
        <w:pStyle w:val="Normal"/>
        <w:spacing w:before="0" w:after="0"/>
        <w:contextualSpacing/>
        <w:jc w:val="both"/>
        <w:rPr>
          <w:sz w:val="22"/>
          <w:szCs w:val="22"/>
        </w:rPr>
      </w:pPr>
      <w:r>
        <w:rPr>
          <w:b/>
          <w:bCs/>
          <w:sz w:val="22"/>
          <w:szCs w:val="22"/>
        </w:rPr>
        <w:t>PODPORA SAMOSTATNÉHO BÝVANIA</w:t>
      </w:r>
    </w:p>
    <w:p>
      <w:pPr>
        <w:pStyle w:val="Normal"/>
        <w:spacing w:before="0" w:after="0"/>
        <w:contextualSpacing/>
        <w:jc w:val="both"/>
        <w:rPr>
          <w:sz w:val="22"/>
          <w:szCs w:val="22"/>
        </w:rPr>
      </w:pPr>
      <w:r>
        <w:rPr>
          <w:sz w:val="22"/>
          <w:szCs w:val="22"/>
        </w:rPr>
        <w:t>Terénna sociálna služba podpora samostatného bývania je určená pre PSS s nízkou a strednou mierou podpory, ktorí budú bývať vo svojich vlastných domácnostiach. Terénný sociálny pracovníci budú podporovať príjmateľov priamo v mieste samostatného bývania. Pomáhať riešiť krízové situácie spojené s každodenným životom, aktivizovať prijímateľov pre aktívne trávenie voľného času a  rozvíjať pracovné  zručnosti s cieľom zamestnania.</w:t>
      </w:r>
    </w:p>
    <w:p>
      <w:pPr>
        <w:pStyle w:val="Normal"/>
        <w:spacing w:before="0" w:after="0"/>
        <w:contextualSpacing/>
        <w:jc w:val="both"/>
        <w:rPr>
          <w:i/>
          <w:i/>
          <w:sz w:val="22"/>
          <w:szCs w:val="22"/>
        </w:rPr>
      </w:pPr>
      <w:r>
        <w:rPr>
          <w:i/>
          <w:sz w:val="22"/>
          <w:szCs w:val="22"/>
        </w:rPr>
      </w:r>
    </w:p>
    <w:p>
      <w:pPr>
        <w:pStyle w:val="Normal"/>
        <w:spacing w:before="0" w:after="0"/>
        <w:jc w:val="both"/>
        <w:rPr>
          <w:sz w:val="22"/>
          <w:szCs w:val="22"/>
        </w:rPr>
      </w:pPr>
      <w:r>
        <w:rPr>
          <w:b/>
          <w:sz w:val="22"/>
          <w:szCs w:val="22"/>
        </w:rPr>
        <w:t>V druhej etape transformácie DSS Ladomerská Vieska</w:t>
      </w:r>
      <w:r>
        <w:rPr>
          <w:sz w:val="22"/>
          <w:szCs w:val="22"/>
        </w:rPr>
        <w:t xml:space="preserve">, po roku  2023,  budeme pokračovať v inklúzii a integrácii PSS do komunity. 14 PSS bude taktiež začlenených do komunity. Súčasne vedenie zariadenia požiada zriaďovateľa o zmenu kapacity z 50 na 48 PSS. Podľa aktuálneho zloženia PSS  budeme špecifikovať o akú sociálnu službu pôjde. Pre kaštieľ budeme hľadať adekvátne využitie v spolupráci so zriaďovateľom, miestnou samosprávou, cirkevnými a kultúrnymi organizáciami v regióne. Radi by sme v kaštieli poskytovali </w:t>
      </w:r>
      <w:r>
        <w:rPr>
          <w:b/>
          <w:bCs/>
          <w:sz w:val="22"/>
          <w:szCs w:val="22"/>
        </w:rPr>
        <w:t>špeciálne sociálne poradenstvo</w:t>
      </w:r>
      <w:r>
        <w:rPr>
          <w:sz w:val="22"/>
          <w:szCs w:val="22"/>
        </w:rPr>
        <w:t xml:space="preserve">. </w:t>
      </w:r>
    </w:p>
    <w:p>
      <w:pPr>
        <w:pStyle w:val="Normal"/>
        <w:spacing w:before="0" w:after="0"/>
        <w:jc w:val="both"/>
        <w:rPr>
          <w:color w:val="000000"/>
          <w:sz w:val="22"/>
          <w:szCs w:val="22"/>
        </w:rPr>
      </w:pPr>
      <w:r>
        <w:rPr>
          <w:color w:val="000000"/>
          <w:sz w:val="22"/>
          <w:szCs w:val="22"/>
          <w:highlight w:val="white"/>
        </w:rPr>
        <w:t>Pri vykonávaní každodenných sociálnych služieb  sa nezaobídeme bez  špecializovaných sociálnych poradní. Ich hlavným cieľom je vypočuť, podporiť a konkrétne napomôcť klientom, ľuďom pri riešení ich problémov. </w:t>
      </w:r>
      <w:r>
        <w:rPr>
          <w:color w:val="000000"/>
          <w:sz w:val="22"/>
          <w:szCs w:val="22"/>
        </w:rPr>
        <w:t>Poradenstvo by sme chceli  je poskytovať ambulantnou aj terénnou formou. Služby  budú  poskytované diskrétne a nestranne. </w:t>
      </w:r>
      <w:r>
        <w:rPr>
          <w:color w:val="000000"/>
          <w:sz w:val="22"/>
          <w:szCs w:val="22"/>
          <w:highlight w:val="white"/>
        </w:rPr>
        <w:t>Prostredníctvom sociálnych poradní  máme záujem pomáhať  v miestnej samospráve ako aj v meste Žiar nad Hronom. Nakoľko práve táto služba v našom regióne nemá dostatočné zastúpenie.</w:t>
      </w:r>
    </w:p>
    <w:p>
      <w:pPr>
        <w:pStyle w:val="Normal"/>
        <w:spacing w:before="0" w:after="0"/>
        <w:jc w:val="both"/>
        <w:rPr>
          <w:sz w:val="22"/>
          <w:szCs w:val="22"/>
        </w:rPr>
      </w:pPr>
      <w:r>
        <w:rPr>
          <w:sz w:val="22"/>
          <w:szCs w:val="22"/>
        </w:rPr>
      </w:r>
    </w:p>
    <w:p>
      <w:pPr>
        <w:pStyle w:val="Normal"/>
        <w:spacing w:before="0" w:after="0"/>
        <w:jc w:val="both"/>
        <w:rPr>
          <w:color w:val="000000"/>
          <w:sz w:val="22"/>
          <w:szCs w:val="22"/>
        </w:rPr>
      </w:pPr>
      <w:r>
        <w:rPr>
          <w:color w:val="000000"/>
          <w:sz w:val="22"/>
          <w:szCs w:val="22"/>
          <w:highlight w:val="white"/>
        </w:rPr>
        <w:t xml:space="preserve">Ďalšou aktivitou, ktorú plánujeme v kaštieli vykonávať je istá forma </w:t>
      </w:r>
      <w:r>
        <w:rPr>
          <w:b/>
          <w:bCs/>
          <w:color w:val="000000"/>
          <w:sz w:val="22"/>
          <w:szCs w:val="22"/>
          <w:highlight w:val="white"/>
        </w:rPr>
        <w:t>sociálneho podniku</w:t>
      </w:r>
      <w:r>
        <w:rPr>
          <w:color w:val="000000"/>
          <w:sz w:val="22"/>
          <w:szCs w:val="22"/>
          <w:highlight w:val="white"/>
        </w:rPr>
        <w:t>. Chceli by sme na spoluprácu prizvať  miestnu samosprávu. Sociálne podniky sú dôležitou hnacou silou inkluzívneho rastu, resp. rastu ktorý podporuje vysokú zamestnanosť a sociálnu súdržnosť. Predpokladáme , že budú zohrávať jednu z kľúčových úloh pri riešení viacerých spoločenských výziev.</w:t>
      </w:r>
    </w:p>
    <w:p>
      <w:pPr>
        <w:pStyle w:val="Normal"/>
        <w:spacing w:before="0" w:after="0"/>
        <w:jc w:val="both"/>
        <w:rPr>
          <w:sz w:val="22"/>
          <w:szCs w:val="22"/>
        </w:rPr>
      </w:pPr>
      <w:r>
        <w:rPr>
          <w:sz w:val="22"/>
          <w:szCs w:val="22"/>
        </w:rPr>
      </w:r>
    </w:p>
    <w:p>
      <w:pPr>
        <w:pStyle w:val="Telotextu"/>
        <w:spacing w:before="0" w:after="0"/>
        <w:jc w:val="both"/>
        <w:rPr>
          <w:sz w:val="22"/>
          <w:szCs w:val="22"/>
        </w:rPr>
      </w:pPr>
      <w:r>
        <w:rPr>
          <w:color w:val="000000"/>
          <w:sz w:val="22"/>
          <w:szCs w:val="22"/>
          <w:highlight w:val="white"/>
        </w:rPr>
        <w:t>Spoločným znakom napĺňania verejného alebo komunitného záujmu, ktorý by sme chceli naplniť naše ciele  v súvislosti so zamestnávaním klientov. Jednalo by sa prevažne o poskytovanie spoločensky prospešnej služby:</w:t>
      </w:r>
    </w:p>
    <w:p>
      <w:pPr>
        <w:pStyle w:val="Telotextu"/>
        <w:numPr>
          <w:ilvl w:val="0"/>
          <w:numId w:val="22"/>
        </w:numPr>
        <w:tabs>
          <w:tab w:val="clear" w:pos="720"/>
          <w:tab w:val="left" w:pos="0" w:leader="none"/>
        </w:tabs>
        <w:spacing w:before="0" w:after="0"/>
        <w:rPr>
          <w:sz w:val="22"/>
          <w:szCs w:val="22"/>
        </w:rPr>
      </w:pPr>
      <w:r>
        <w:rPr>
          <w:color w:val="000000"/>
          <w:sz w:val="22"/>
          <w:szCs w:val="22"/>
        </w:rPr>
        <w:t>zabezpečovanie údržby verejného priestranstva</w:t>
      </w:r>
    </w:p>
    <w:p>
      <w:pPr>
        <w:pStyle w:val="Nadpis21"/>
        <w:ind w:left="720" w:hanging="11"/>
        <w:rPr/>
      </w:pPr>
      <w:bookmarkStart w:id="25" w:name="_Toc71021273"/>
      <w:r>
        <w:rPr/>
        <w:t>5.3. Služby zabezpečované dodávateľsky</w:t>
      </w:r>
      <w:bookmarkEnd w:id="25"/>
    </w:p>
    <w:p>
      <w:pPr>
        <w:pStyle w:val="Normal"/>
        <w:spacing w:before="0" w:after="120"/>
        <w:rPr>
          <w:sz w:val="22"/>
        </w:rPr>
      </w:pPr>
      <w:r>
        <w:rPr>
          <w:sz w:val="22"/>
        </w:rPr>
        <w:t>Od iných dodávateľov budú pre prijímateľov  podľa potreby a dohody s nimi zabezpečované tieto služby:</w:t>
      </w:r>
    </w:p>
    <w:p>
      <w:pPr>
        <w:pStyle w:val="Odstavecseseznamem1"/>
        <w:numPr>
          <w:ilvl w:val="0"/>
          <w:numId w:val="20"/>
        </w:numPr>
        <w:spacing w:before="0" w:after="0"/>
        <w:contextualSpacing/>
        <w:rPr/>
      </w:pPr>
      <w:r>
        <w:rPr>
          <w:sz w:val="22"/>
        </w:rPr>
        <w:t>Prepravná služba (v regióne už existujú poskytovatelia tejto služby)</w:t>
      </w:r>
    </w:p>
    <w:p>
      <w:pPr>
        <w:pStyle w:val="Nadpis21"/>
        <w:ind w:left="720" w:hanging="11"/>
        <w:rPr/>
      </w:pPr>
      <w:bookmarkStart w:id="26" w:name="_Toc71021274"/>
      <w:r>
        <w:rPr/>
        <w:t>5.4. Predpokladané výsledky po transformácií DSS</w:t>
      </w:r>
      <w:bookmarkEnd w:id="26"/>
    </w:p>
    <w:p>
      <w:pPr>
        <w:pStyle w:val="Normal"/>
        <w:spacing w:before="0" w:after="120"/>
        <w:jc w:val="both"/>
        <w:rPr>
          <w:rFonts w:eastAsia="Times New Roman"/>
          <w:iCs/>
          <w:sz w:val="22"/>
          <w:szCs w:val="22"/>
          <w:lang w:eastAsia="sk-SK"/>
        </w:rPr>
      </w:pPr>
      <w:r>
        <w:rPr>
          <w:rFonts w:eastAsia="Times New Roman"/>
          <w:iCs/>
          <w:sz w:val="22"/>
          <w:szCs w:val="22"/>
          <w:lang w:eastAsia="sk-SK"/>
        </w:rPr>
        <w:t>Realizáciou t</w:t>
      </w:r>
      <w:r>
        <w:rPr>
          <w:rFonts w:eastAsia="Times New Roman"/>
          <w:b/>
          <w:iCs/>
          <w:sz w:val="22"/>
          <w:szCs w:val="22"/>
          <w:lang w:eastAsia="sk-SK"/>
        </w:rPr>
        <w:t>r</w:t>
      </w:r>
      <w:r>
        <w:rPr>
          <w:rFonts w:eastAsia="Times New Roman"/>
          <w:iCs/>
          <w:sz w:val="22"/>
          <w:szCs w:val="22"/>
          <w:lang w:eastAsia="sk-SK"/>
        </w:rPr>
        <w:t>ansformácie DSS sa dosiahnu nasledovné výsledky:</w:t>
      </w:r>
    </w:p>
    <w:p>
      <w:pPr>
        <w:pStyle w:val="ListParagraph"/>
        <w:numPr>
          <w:ilvl w:val="0"/>
          <w:numId w:val="29"/>
        </w:numPr>
        <w:spacing w:before="0" w:after="0"/>
        <w:contextualSpacing/>
        <w:jc w:val="both"/>
        <w:rPr>
          <w:rFonts w:ascii="Times New Roman" w:hAnsi="Times New Roman" w:eastAsia="Times New Roman"/>
          <w:iCs/>
          <w:lang w:eastAsia="sk-SK"/>
        </w:rPr>
      </w:pPr>
      <w:r>
        <w:rPr>
          <w:rFonts w:eastAsia="Times New Roman" w:ascii="Times New Roman" w:hAnsi="Times New Roman"/>
          <w:iCs/>
          <w:lang w:eastAsia="sk-SK"/>
        </w:rPr>
        <w:t>vytvoria sa podmienky pre I. etapu transformácie existujúceho zariadenia s celoročným pobytom na zariadenie poskytujúce služby na komunitnej báze;</w:t>
      </w:r>
    </w:p>
    <w:p>
      <w:pPr>
        <w:pStyle w:val="ListParagraph"/>
        <w:numPr>
          <w:ilvl w:val="0"/>
          <w:numId w:val="29"/>
        </w:numPr>
        <w:spacing w:before="0" w:after="0"/>
        <w:contextualSpacing/>
        <w:jc w:val="both"/>
        <w:rPr>
          <w:rFonts w:ascii="Times New Roman" w:hAnsi="Times New Roman" w:eastAsia="Times New Roman"/>
          <w:iCs/>
          <w:lang w:eastAsia="sk-SK"/>
        </w:rPr>
      </w:pPr>
      <w:r>
        <w:rPr>
          <w:rFonts w:eastAsia="Times New Roman" w:ascii="Times New Roman" w:hAnsi="Times New Roman"/>
          <w:iCs/>
          <w:lang w:eastAsia="sk-SK"/>
        </w:rPr>
        <w:t>vytvoria sa priestorové a materiálovo-technické podmienky pre život klientov a ich aktivity v prostredí podobnom rodinnému, pre socializáciu klientov a ich včlenenie do komunity a pre podporu ich samostatnosti a nezávislosti.</w:t>
      </w:r>
    </w:p>
    <w:p>
      <w:pPr>
        <w:pStyle w:val="ListParagraph"/>
        <w:spacing w:before="0" w:after="0"/>
        <w:contextualSpacing/>
        <w:jc w:val="both"/>
        <w:rPr>
          <w:rFonts w:ascii="Times New Roman" w:hAnsi="Times New Roman" w:eastAsia="Times New Roman"/>
          <w:iCs/>
          <w:lang w:eastAsia="sk-SK"/>
        </w:rPr>
      </w:pPr>
      <w:r>
        <w:rPr>
          <w:rFonts w:eastAsia="Times New Roman" w:ascii="Times New Roman" w:hAnsi="Times New Roman"/>
          <w:iCs/>
          <w:lang w:eastAsia="sk-SK"/>
        </w:rPr>
      </w:r>
    </w:p>
    <w:p>
      <w:pPr>
        <w:pStyle w:val="ListParagraph"/>
        <w:spacing w:before="0" w:after="0"/>
        <w:ind w:left="0" w:hanging="0"/>
        <w:contextualSpacing/>
        <w:jc w:val="both"/>
        <w:rPr>
          <w:rFonts w:ascii="Times New Roman" w:hAnsi="Times New Roman" w:eastAsia="Times New Roman"/>
          <w:iCs/>
          <w:lang w:eastAsia="sk-SK"/>
        </w:rPr>
      </w:pPr>
      <w:r>
        <w:rPr>
          <w:rFonts w:eastAsia="Times New Roman" w:ascii="Times New Roman" w:hAnsi="Times New Roman"/>
          <w:iCs/>
          <w:lang w:eastAsia="sk-SK"/>
        </w:rPr>
        <w:t>Aktivity transformácie umožnia zmenu fyzického prostredia poskytovania sociálnych služieb – presun poskytovania sociálnych služieb z veľkokapacitných objektov do menších objektov s nižšou kapacitou prijímateľov/osôb komunitného charakteru (v I. etape sa opustí jeden veľkokapacitný objekt a v jednom sa zníži kapacita). Všetky objekty zariadenia, ktoré sú súčasťou transformácie v I. etape sa nachádzajú v prostredí komunity umožňujúcom neobmedzený prístup v rámci sídel. Dostupnosť dopravná, ale aj dostupnosť verejných a komerčných služieb je zabezpečená. Aktivity projektu umožňujú aj dostupnosť technických pomôcok, informácií (zariadenie a vybavenie + organizované aktivity), dostupnosť asistencie (priestory pre zamestnancov), dostupnosť rodiny (priestory pre rodinu a aktivity s rodinou).</w:t>
      </w:r>
    </w:p>
    <w:p>
      <w:pPr>
        <w:pStyle w:val="ListParagraph"/>
        <w:jc w:val="both"/>
        <w:rPr>
          <w:rFonts w:ascii="Times New Roman" w:hAnsi="Times New Roman"/>
        </w:rPr>
      </w:pPr>
      <w:r>
        <w:rPr>
          <w:rFonts w:ascii="Times New Roman" w:hAnsi="Times New Roman"/>
        </w:rPr>
        <w:t>Služby a odborné činnosti budú poskytované adresnejšie, na základe individuálnych plánov reagujúcich na mieru potrebnej podpory, schopnosti a potreby klientov.</w:t>
      </w:r>
    </w:p>
    <w:p>
      <w:pPr>
        <w:pStyle w:val="ListParagraph"/>
        <w:jc w:val="both"/>
        <w:rPr>
          <w:rFonts w:ascii="Times New Roman" w:hAnsi="Times New Roman"/>
        </w:rPr>
      </w:pPr>
      <w:r>
        <w:rPr>
          <w:rFonts w:ascii="Times New Roman" w:hAnsi="Times New Roman"/>
        </w:rPr>
        <w:t>Transformáciou dosiahneme:</w:t>
      </w:r>
    </w:p>
    <w:p>
      <w:pPr>
        <w:pStyle w:val="ListParagraph"/>
        <w:jc w:val="both"/>
        <w:rPr>
          <w:rFonts w:ascii="Times New Roman" w:hAnsi="Times New Roman"/>
        </w:rPr>
      </w:pPr>
      <w:r>
        <w:rPr>
          <w:rFonts w:ascii="Times New Roman" w:hAnsi="Times New Roman"/>
        </w:rPr>
        <w:t>- vytvorenie prostredia pre prijímateľov sociálnych služieb čo najviac podobného rodinnému (nízkokapacitné objekty rodinného typu),</w:t>
      </w:r>
    </w:p>
    <w:p>
      <w:pPr>
        <w:pStyle w:val="ListParagraph"/>
        <w:jc w:val="both"/>
        <w:rPr>
          <w:rFonts w:ascii="Times New Roman" w:hAnsi="Times New Roman"/>
        </w:rPr>
      </w:pPr>
      <w:r>
        <w:rPr>
          <w:rFonts w:ascii="Times New Roman" w:hAnsi="Times New Roman"/>
        </w:rPr>
        <w:t>- vytvorenie podmienok pre podporu práv prijímateľov soc. služieb na súkromie, podpora práv prijímateľov vykonávať bežné aktivity osoby bez postihnutia (napríklad aj oddelením ubytovania od denného pobytu klientov),</w:t>
      </w:r>
    </w:p>
    <w:p>
      <w:pPr>
        <w:pStyle w:val="ListParagraph"/>
        <w:jc w:val="both"/>
        <w:rPr>
          <w:rFonts w:ascii="Times New Roman" w:hAnsi="Times New Roman"/>
        </w:rPr>
      </w:pPr>
      <w:r>
        <w:rPr>
          <w:rFonts w:ascii="Times New Roman" w:hAnsi="Times New Roman"/>
        </w:rPr>
        <w:t>- vytvorenie podmienok pre podporu samostatnosti a sebestačnosti prijímateľov sociálnych služieb s takou mierou asistencie a podpory, aká zodpovedá individuálnym požiadavkám každého prijímateľa sociálnej pomoci (bezbariérovosť, materiálno-technické vybavenie objektov a iné),</w:t>
      </w:r>
    </w:p>
    <w:p>
      <w:pPr>
        <w:pStyle w:val="ListParagraph"/>
        <w:jc w:val="both"/>
        <w:rPr>
          <w:rFonts w:ascii="Times New Roman" w:hAnsi="Times New Roman"/>
        </w:rPr>
      </w:pPr>
      <w:r>
        <w:rPr>
          <w:rFonts w:ascii="Times New Roman" w:hAnsi="Times New Roman"/>
        </w:rPr>
        <w:t>- vytvorenie podmienok pre rehabilitáciu prijímateľov sociálnych služieb, poskytnutie možností pre voľnočasové aktivity, kultúrno-spoločenské zážitky (napríklad premietanie filmov, muzikoterapia, masáže, hobby dielne, terapeutické činnosti, a pod),</w:t>
      </w:r>
    </w:p>
    <w:p>
      <w:pPr>
        <w:pStyle w:val="ListParagraph"/>
        <w:jc w:val="both"/>
        <w:rPr>
          <w:rFonts w:ascii="Times New Roman" w:hAnsi="Times New Roman"/>
        </w:rPr>
      </w:pPr>
      <w:r>
        <w:rPr>
          <w:rFonts w:ascii="Times New Roman" w:hAnsi="Times New Roman"/>
        </w:rPr>
        <w:t>- vytvorenie podmienok pre vzdelávacie aktivity, rozvoj manuálnych zručností prijímateľov (počítačové zručnosti, výroba remeselných výrobkov a pod.),</w:t>
      </w:r>
    </w:p>
    <w:p>
      <w:pPr>
        <w:pStyle w:val="ListParagraph"/>
        <w:jc w:val="both"/>
        <w:rPr>
          <w:rFonts w:ascii="Times New Roman" w:hAnsi="Times New Roman"/>
        </w:rPr>
      </w:pPr>
      <w:r>
        <w:rPr>
          <w:rFonts w:ascii="Times New Roman" w:hAnsi="Times New Roman"/>
        </w:rPr>
        <w:t>- vytvorenie podmienok pre začleňovanie prijímateľov sociálnych služieb do komunitného života (včleňovanie klientov nielen do aktivít komunity, ale aj otvorenie priestorov a aktivít zariadenia pre verejnosť),</w:t>
      </w:r>
    </w:p>
    <w:p>
      <w:pPr>
        <w:pStyle w:val="ListParagraph"/>
        <w:jc w:val="both"/>
        <w:rPr>
          <w:rFonts w:ascii="Times New Roman" w:hAnsi="Times New Roman"/>
        </w:rPr>
      </w:pPr>
      <w:r>
        <w:rPr>
          <w:rFonts w:ascii="Times New Roman" w:hAnsi="Times New Roman"/>
        </w:rPr>
        <w:t>- zlepšenie podmienok pre aktívnu spoluprácu s rodinnými príslušníkmi prijímateľov sociálnych služieb (aj vytvorením ubytovacích možností pre rodinných príslušníkov),</w:t>
      </w:r>
    </w:p>
    <w:p>
      <w:pPr>
        <w:pStyle w:val="ListParagraph"/>
        <w:jc w:val="both"/>
        <w:rPr>
          <w:rFonts w:ascii="Times New Roman" w:hAnsi="Times New Roman"/>
        </w:rPr>
      </w:pPr>
      <w:r>
        <w:rPr>
          <w:rFonts w:ascii="Times New Roman" w:hAnsi="Times New Roman"/>
        </w:rPr>
        <w:t>- zlepšenie pracovného prostredia a pracovných podmienok zamestnancov DSS Ladomerská Vieska pri práci s prijímateľmi sociálnych služieb (zlepšením priestorových a materiálno-technických podmienok pre administratívu, zlepšením možností pracovať s klientami individuálne, znížením kapacít objektov, modernizáciou zariadenia a vybavenia pre prácu s klientami).</w:t>
      </w:r>
    </w:p>
    <w:p>
      <w:pPr>
        <w:pStyle w:val="ListParagraph"/>
        <w:jc w:val="both"/>
        <w:rPr>
          <w:rFonts w:ascii="Times New Roman" w:hAnsi="Times New Roman"/>
          <w:lang w:eastAsia="sk-SK"/>
        </w:rPr>
      </w:pPr>
      <w:r>
        <w:rPr>
          <w:rFonts w:ascii="Times New Roman" w:hAnsi="Times New Roman"/>
          <w:lang w:eastAsia="sk-SK"/>
        </w:rPr>
      </w:r>
    </w:p>
    <w:p>
      <w:pPr>
        <w:pStyle w:val="Normal"/>
        <w:jc w:val="both"/>
        <w:rPr>
          <w:rFonts w:eastAsia="Times New Roman"/>
          <w:b/>
          <w:b/>
          <w:iCs/>
          <w:sz w:val="22"/>
          <w:szCs w:val="22"/>
          <w:lang w:eastAsia="sk-SK"/>
        </w:rPr>
      </w:pPr>
      <w:r>
        <w:rPr>
          <w:rFonts w:eastAsia="Times New Roman"/>
          <w:b/>
          <w:iCs/>
          <w:sz w:val="22"/>
          <w:szCs w:val="22"/>
          <w:lang w:eastAsia="sk-SK"/>
        </w:rPr>
        <w:t>Navrhované aktivity projektu a jeho výsledky a výstupy jednoznačne:</w:t>
      </w:r>
    </w:p>
    <w:p>
      <w:pPr>
        <w:pStyle w:val="ListParagraph"/>
        <w:numPr>
          <w:ilvl w:val="0"/>
          <w:numId w:val="30"/>
        </w:numPr>
        <w:jc w:val="both"/>
        <w:rPr>
          <w:rFonts w:ascii="Times New Roman" w:hAnsi="Times New Roman" w:eastAsia="Times New Roman"/>
          <w:iCs/>
          <w:lang w:eastAsia="sk-SK"/>
        </w:rPr>
      </w:pPr>
      <w:r>
        <w:rPr>
          <w:rFonts w:eastAsia="Times New Roman" w:ascii="Times New Roman" w:hAnsi="Times New Roman"/>
          <w:i/>
          <w:iCs/>
          <w:lang w:eastAsia="sk-SK"/>
        </w:rPr>
        <w:t>podporia transformáciu a deinštitucionalizáciu existujúceho pobytového zariadenia, ktoré je nákladovo neefektívne, vytvorením vhodných priestorových podmienok pre poskytovanie sociálnych služieb a to v súlade so Stratégiou deinštitucionalizácie systému sociálnych služieb a náhradnej starostlivosti v SR a koncepčnými dokumentmi BBSK.</w:t>
      </w:r>
      <w:r>
        <w:rPr>
          <w:rFonts w:eastAsia="Times New Roman" w:ascii="Times New Roman" w:hAnsi="Times New Roman"/>
          <w:iCs/>
          <w:lang w:eastAsia="sk-SK"/>
        </w:rPr>
        <w:t xml:space="preserve"> Rekonštrukciou, modernizáciou, rozšírením existujúcich objektov a vybudovaním nového objektu sa vytvoria priestory, ktoré plne spĺňajú legislatívu SR a podmienky deinštitucionalizácie zariadení. Dosiahne sa zvýšenie nákladovej efektívnosti znížením energetickej náročnosti budov. Rovnako sa vytvoria podmienky pre poskytovanie služieb adresne a efektívne podľa individuálnych potrieb, čo následne bude mať dopad aj na efektívnejšie financovanie.</w:t>
      </w:r>
    </w:p>
    <w:p>
      <w:pPr>
        <w:pStyle w:val="ListParagraph"/>
        <w:numPr>
          <w:ilvl w:val="0"/>
          <w:numId w:val="30"/>
        </w:numPr>
        <w:jc w:val="both"/>
        <w:rPr>
          <w:rFonts w:ascii="Times New Roman" w:hAnsi="Times New Roman" w:eastAsia="Times New Roman"/>
          <w:iCs/>
          <w:lang w:eastAsia="sk-SK"/>
        </w:rPr>
      </w:pPr>
      <w:r>
        <w:rPr>
          <w:rFonts w:eastAsia="Times New Roman" w:ascii="Times New Roman" w:hAnsi="Times New Roman"/>
          <w:i/>
          <w:iCs/>
          <w:lang w:eastAsia="sk-SK"/>
        </w:rPr>
        <w:t>umožnia vznik odbornej jednotky s priestorovým a technickým vybavením zameranej na aktívnu odbornú činnosť a vytváranie podmienok pre nezávislý a plnoprávny život osôb so znevýhodnením (z hľadiska ich veku, alebo zdravotného postihnutia, sociálneho vylúčenia, zhoršenia ich zdravotného stavu, alebo zhoršenia ich sociálne nepriaznivej situácie).</w:t>
      </w:r>
      <w:r>
        <w:rPr>
          <w:rFonts w:eastAsia="Times New Roman" w:ascii="Times New Roman" w:hAnsi="Times New Roman"/>
          <w:iCs/>
          <w:lang w:eastAsia="sk-SK"/>
        </w:rPr>
        <w:t xml:space="preserve"> Vytvorenie priestorových a technických podmienok je základ pre aktívnu prácu s prijímateľmi sociálnych služieb podľa ich potrieb a možností. Na túto prácu sú projektom vytvorené podmienky tak v rámci ubytovania, ako aj denných aktivít, rehabilitácií, socializačných aktivít a aktivít umožňujúcich začlenenie do bežného života.</w:t>
      </w:r>
    </w:p>
    <w:p>
      <w:pPr>
        <w:pStyle w:val="ListParagraph"/>
        <w:numPr>
          <w:ilvl w:val="0"/>
          <w:numId w:val="30"/>
        </w:numPr>
        <w:jc w:val="both"/>
        <w:rPr>
          <w:rFonts w:ascii="Times New Roman" w:hAnsi="Times New Roman" w:eastAsia="Times New Roman"/>
          <w:iCs/>
          <w:lang w:eastAsia="sk-SK"/>
        </w:rPr>
      </w:pPr>
      <w:r>
        <w:rPr>
          <w:rFonts w:eastAsia="Times New Roman" w:ascii="Times New Roman" w:hAnsi="Times New Roman"/>
          <w:i/>
          <w:iCs/>
          <w:lang w:eastAsia="sk-SK"/>
        </w:rPr>
        <w:t>prispejú k skvalitneniu a rozšíreniu ponuky služieb existujúceho zariadenia poskytujúceho momentálne 1 sociálnu službu o dve nové služby a tieto novo poskytované služby budú poskytované so zameraním na individuálny prístup k prijímateľom sociálnych služieb s dorazom na ich potreby.</w:t>
      </w:r>
      <w:r>
        <w:rPr>
          <w:rFonts w:eastAsia="Times New Roman" w:ascii="Times New Roman" w:hAnsi="Times New Roman"/>
          <w:iCs/>
          <w:lang w:eastAsia="sk-SK"/>
        </w:rPr>
        <w:t xml:space="preserve"> Rozšírenie poskytovaných služieb umožňuje väčšiu adresnosť aktivít a individuálnejší prístup. </w:t>
      </w:r>
    </w:p>
    <w:p>
      <w:pPr>
        <w:pStyle w:val="ListParagraph"/>
        <w:numPr>
          <w:ilvl w:val="0"/>
          <w:numId w:val="30"/>
        </w:numPr>
        <w:jc w:val="both"/>
        <w:rPr>
          <w:rFonts w:ascii="Times New Roman" w:hAnsi="Times New Roman" w:eastAsia="Times New Roman"/>
          <w:iCs/>
          <w:lang w:eastAsia="sk-SK"/>
        </w:rPr>
      </w:pPr>
      <w:r>
        <w:rPr>
          <w:rFonts w:eastAsia="Times New Roman" w:ascii="Times New Roman" w:hAnsi="Times New Roman"/>
          <w:i/>
          <w:iCs/>
          <w:lang w:eastAsia="sk-SK"/>
        </w:rPr>
        <w:t>zabezpečia zavedenie nielen nových služieb pre občanov, ktorí sa dostali do sociálne nepriaznivej situácie, ale aj zavedenie nového prístupu k poskytovaniu sociálnych služieb, vytvorenie priestoru pre aktívnu prácu s týmito občanmi, ich rodinami a ich začlenenie do širšej komunity.</w:t>
      </w:r>
      <w:r>
        <w:rPr>
          <w:rFonts w:eastAsia="Times New Roman" w:ascii="Times New Roman" w:hAnsi="Times New Roman"/>
          <w:iCs/>
          <w:lang w:eastAsia="sk-SK"/>
        </w:rPr>
        <w:t xml:space="preserve"> Novoposkytované služby a najmä nová - komunitná forma poskytovania služieb umožní začlenenie klientov do bežného života a podporu ich nezávislosti, podporu uplatňovania ich práv, rozvoj ich schopností, podporu akceptácie verejnosťou.</w:t>
      </w:r>
    </w:p>
    <w:p>
      <w:pPr>
        <w:pStyle w:val="ListParagraph"/>
        <w:numPr>
          <w:ilvl w:val="0"/>
          <w:numId w:val="30"/>
        </w:numPr>
        <w:jc w:val="both"/>
        <w:rPr>
          <w:rFonts w:ascii="Times New Roman" w:hAnsi="Times New Roman" w:eastAsia="Times New Roman"/>
          <w:iCs/>
          <w:lang w:eastAsia="sk-SK"/>
        </w:rPr>
      </w:pPr>
      <w:r>
        <w:rPr>
          <w:rFonts w:eastAsia="Times New Roman" w:ascii="Times New Roman" w:hAnsi="Times New Roman"/>
          <w:i/>
          <w:iCs/>
          <w:lang w:eastAsia="sk-SK"/>
        </w:rPr>
        <w:t>podporia prechod poskytovania sociálnych služieb v zariadení z inštitucionálnej formy na komunitnú a podporia rozvoj nových a v dotknutom regióne nedostatkových komunitných služieb a modernizáciu sociálnej infraštruktúry.</w:t>
      </w:r>
      <w:r>
        <w:rPr>
          <w:rFonts w:eastAsia="Times New Roman" w:ascii="Times New Roman" w:hAnsi="Times New Roman"/>
          <w:iCs/>
          <w:lang w:eastAsia="sk-SK"/>
        </w:rPr>
        <w:t xml:space="preserve"> Sociálna infraštruktúra v území sa projektom jednoznačne modernizuje tak po technickej ako aj vecnej stránke. Projekt prispeje k zavedeniu nových služieb, ktoré sú v území okresu (a regiónu) nedostatočne pokryté (ŠZ), respektíve vôbec nepokryté (ZPB).</w:t>
      </w:r>
    </w:p>
    <w:p>
      <w:pPr>
        <w:pStyle w:val="ListParagraph"/>
        <w:numPr>
          <w:ilvl w:val="0"/>
          <w:numId w:val="30"/>
        </w:numPr>
        <w:jc w:val="both"/>
        <w:rPr>
          <w:rFonts w:ascii="Times New Roman" w:hAnsi="Times New Roman" w:eastAsia="Times New Roman"/>
          <w:iCs/>
          <w:lang w:eastAsia="sk-SK"/>
        </w:rPr>
      </w:pPr>
      <w:r>
        <w:rPr>
          <w:rFonts w:eastAsia="Times New Roman" w:ascii="Times New Roman" w:hAnsi="Times New Roman"/>
          <w:i/>
          <w:iCs/>
          <w:lang w:eastAsia="sk-SK"/>
        </w:rPr>
        <w:t>podporia vytváranie vhodných priestorových podmienok (vhodného fyzického prostredia) pre poskytovanie sociálnych služieb so zameraním na základné a špecifické potreby prijímateľov sociálnych služieb.</w:t>
      </w:r>
      <w:r>
        <w:rPr>
          <w:rFonts w:eastAsia="Times New Roman" w:ascii="Times New Roman" w:hAnsi="Times New Roman"/>
          <w:iCs/>
          <w:lang w:eastAsia="sk-SK"/>
        </w:rPr>
        <w:t xml:space="preserve"> Priestorové podmienky sú  podobné rodinnému bývaniu, ide o bezbariérové priestory, zariadenie a vybavenie podporuje čo najviac nezávislý život, rozvoj a podporu schopností a priestor pre denné aktivity je oddelený od ubytovania a umožňuje aktivizovať klientov zariadenia v rôznych smeroch. Rovnako sa umožňuje práca a komunikácia s rodinou a verejnosťou.</w:t>
      </w:r>
    </w:p>
    <w:p>
      <w:pPr>
        <w:pStyle w:val="Normal"/>
        <w:spacing w:before="0" w:after="0"/>
        <w:jc w:val="both"/>
        <w:rPr>
          <w:rFonts w:eastAsia="Times New Roman"/>
          <w:iCs/>
          <w:sz w:val="22"/>
          <w:szCs w:val="22"/>
          <w:lang w:eastAsia="sk-SK"/>
        </w:rPr>
      </w:pPr>
      <w:r>
        <w:rPr>
          <w:rFonts w:eastAsia="Times New Roman"/>
          <w:iCs/>
          <w:sz w:val="22"/>
          <w:szCs w:val="22"/>
          <w:lang w:eastAsia="sk-SK"/>
        </w:rPr>
        <w:t xml:space="preserve">Transformácia DSS v plnej miere rešpektuje Dohovor OSN o  právach osôb so zdravotným postihnutím. Práve na základe princípov uvedeného Dohovoru bol naplánovaný a začatý proces transformácie zariadenia DSS Ladomerská Vieska. Cieľom transformácie zariadenia je podpora prijímateľov sociálnych služieb v ich návrate do prirodzeného prostredia a spoločenského života, vytvorenie podmienok pre využívanie bežne dostupných verejných služieb a nadväzovanie sociálnych kontaktov v komunite a v súlade s týmto cieľom bola naplánovaná úprava objektov DSS a výstavba nového objektu DSS tak, aby priestory a vybavenie plne vyhovovali potrebám osôb so zdravotným postihnutím, priestory DSS sú navrhnuté ako plne bezbariérové v súlade s princípmi univerzálneho navrhovania. Po transformácii DSS budeme poskytovať sociálne služby osobám so znevýhodnením na komunitnej úrovni – v prostredí podobnom rodinnému, ktoré klientom zabezpečí pokrytie nielen základných potrieb, ale bude podporovať ich socializáciu, vytváranie možností pre uplatňovanie a rozvoj ich schopností. Práca s klientom bude založená na rešpektovaní jeho práv, poskytnuté služby budú adresnejšie s dôrazom na individualitu. Projekt jednoznačne prispieva k návratu osôb so zdravotným postihnutím do bežného života. </w:t>
      </w:r>
    </w:p>
    <w:p>
      <w:pPr>
        <w:pStyle w:val="Normal"/>
        <w:spacing w:before="0" w:after="0"/>
        <w:jc w:val="both"/>
        <w:rPr>
          <w:rFonts w:eastAsia="Times New Roman"/>
          <w:iCs/>
          <w:sz w:val="22"/>
          <w:szCs w:val="22"/>
          <w:lang w:eastAsia="sk-SK"/>
        </w:rPr>
      </w:pPr>
      <w:r>
        <w:rPr>
          <w:rFonts w:eastAsia="Times New Roman"/>
          <w:iCs/>
          <w:sz w:val="22"/>
          <w:szCs w:val="22"/>
          <w:lang w:eastAsia="sk-SK"/>
        </w:rPr>
      </w:r>
    </w:p>
    <w:p>
      <w:pPr>
        <w:pStyle w:val="Normal"/>
        <w:spacing w:before="0" w:after="0"/>
        <w:jc w:val="both"/>
        <w:rPr>
          <w:rFonts w:eastAsia="Times New Roman"/>
          <w:iCs/>
          <w:sz w:val="22"/>
          <w:szCs w:val="22"/>
          <w:lang w:eastAsia="sk-SK"/>
        </w:rPr>
      </w:pPr>
      <w:r>
        <w:rPr>
          <w:rFonts w:eastAsia="Times New Roman"/>
          <w:b/>
          <w:iCs/>
          <w:sz w:val="22"/>
          <w:szCs w:val="22"/>
          <w:lang w:eastAsia="sk-SK"/>
        </w:rPr>
        <w:t>Proces transformácie svojou podstatou eliminuje</w:t>
      </w:r>
      <w:r>
        <w:rPr>
          <w:rFonts w:eastAsia="Times New Roman"/>
          <w:iCs/>
          <w:sz w:val="22"/>
          <w:szCs w:val="22"/>
          <w:lang w:eastAsia="sk-SK"/>
        </w:rPr>
        <w:t xml:space="preserve"> diskrimináciu osôb so zdravotným postihnutím tým, že ich vracia do priestorových podmienok, ktoré im umožnia nezávislejší život, v prostredí a podmienkach podobných tým, ktoré majú osoby bez postihnutia. Výsledky transformácie DSS umožnia návrat týchto osôb s postihnutím do bežného života, v ktorom budú bývať v rodinnom prostredí, vykonávať aktivity, ktoré zlepšujú ich fyzický a psychický zdravotný stav. Budú môcť vykonávať aktivity, ktoré rozvíjajú ich schopnosti a následne budú mať vytvorené podmienky pre to, aby tieto schopnosti využívali a mali možnosť sa zapojiť aj do pracovných aktivít napríklad v zamestnaní. Transformáciou DSS budeme predchádzať izolácii týchto osôb ich umiestnením v komunite a vytvorením podmienok pre včlenenie rodiny a verejnosti do života klientov. </w:t>
      </w:r>
    </w:p>
    <w:p>
      <w:pPr>
        <w:pStyle w:val="Normal"/>
        <w:spacing w:before="0" w:after="0"/>
        <w:jc w:val="both"/>
        <w:rPr>
          <w:rFonts w:eastAsia="Times New Roman"/>
          <w:iCs/>
          <w:sz w:val="22"/>
          <w:szCs w:val="22"/>
          <w:lang w:eastAsia="sk-SK"/>
        </w:rPr>
      </w:pPr>
      <w:r>
        <w:rPr>
          <w:rFonts w:eastAsia="Times New Roman"/>
          <w:iCs/>
          <w:sz w:val="22"/>
          <w:szCs w:val="22"/>
          <w:lang w:eastAsia="sk-SK"/>
        </w:rPr>
      </w:r>
    </w:p>
    <w:p>
      <w:pPr>
        <w:pStyle w:val="Normal"/>
        <w:rPr>
          <w:rFonts w:ascii="Calibri" w:hAnsi="Calibri" w:cs="Calibri"/>
          <w:sz w:val="22"/>
        </w:rPr>
      </w:pPr>
      <w:r>
        <w:rPr>
          <w:rFonts w:cs="Calibri" w:ascii="Calibri" w:hAnsi="Calibri"/>
          <w:sz w:val="22"/>
        </w:rPr>
      </w:r>
    </w:p>
    <w:p>
      <w:pPr>
        <w:pStyle w:val="Nadpis11"/>
        <w:rPr>
          <w:rStyle w:val="Odkazintenzivn1"/>
          <w:b/>
          <w:b/>
          <w:bCs w:val="false"/>
          <w:caps w:val="false"/>
          <w:smallCaps w:val="false"/>
          <w:color w:val="2F5496"/>
          <w:spacing w:val="0"/>
        </w:rPr>
      </w:pPr>
      <w:bookmarkStart w:id="27" w:name="_Toc71021275"/>
      <w:r>
        <w:rPr>
          <w:rStyle w:val="Odkazintenzivn1"/>
          <w:b/>
          <w:bCs w:val="false"/>
          <w:caps w:val="false"/>
          <w:smallCaps w:val="false"/>
          <w:color w:val="2F5496"/>
          <w:spacing w:val="0"/>
        </w:rPr>
        <w:t>6. PERSONÁLNA ŠTRUKTÚRA NOVÝCH SLUŽIEB</w:t>
      </w:r>
      <w:bookmarkEnd w:id="27"/>
    </w:p>
    <w:p>
      <w:pPr>
        <w:pStyle w:val="Normal"/>
        <w:rPr/>
      </w:pPr>
      <w:r>
        <w:rPr/>
      </w:r>
    </w:p>
    <w:p>
      <w:pPr>
        <w:pStyle w:val="Normal"/>
        <w:spacing w:before="0" w:after="0"/>
        <w:rPr/>
      </w:pPr>
      <w:r>
        <w:rPr>
          <w:sz w:val="22"/>
          <w:szCs w:val="22"/>
        </w:rPr>
        <w:t>Predpokladaný nárast personálu bude naprogramovaný do dvoch etáp:</w:t>
      </w:r>
    </w:p>
    <w:p>
      <w:pPr>
        <w:pStyle w:val="Normal"/>
        <w:spacing w:before="0" w:after="0"/>
        <w:rPr>
          <w:b/>
          <w:b/>
          <w:sz w:val="22"/>
          <w:szCs w:val="22"/>
        </w:rPr>
      </w:pPr>
      <w:r>
        <w:rPr>
          <w:b/>
          <w:sz w:val="22"/>
          <w:szCs w:val="22"/>
        </w:rPr>
      </w:r>
    </w:p>
    <w:p>
      <w:pPr>
        <w:pStyle w:val="Normal"/>
        <w:spacing w:before="0" w:after="0"/>
        <w:rPr>
          <w:sz w:val="22"/>
          <w:szCs w:val="22"/>
        </w:rPr>
      </w:pPr>
      <w:r>
        <w:rPr>
          <w:b/>
          <w:sz w:val="22"/>
          <w:szCs w:val="22"/>
        </w:rPr>
        <w:t>1. etapa rok 2020</w:t>
      </w:r>
    </w:p>
    <w:p>
      <w:pPr>
        <w:pStyle w:val="Normal"/>
        <w:spacing w:before="0" w:after="0"/>
        <w:jc w:val="both"/>
        <w:rPr>
          <w:sz w:val="22"/>
          <w:szCs w:val="22"/>
        </w:rPr>
      </w:pPr>
      <w:r>
        <w:rPr>
          <w:i/>
          <w:iCs/>
          <w:sz w:val="22"/>
          <w:szCs w:val="22"/>
        </w:rPr>
        <w:t>Nárast o 1 ISR-</w:t>
      </w:r>
      <w:r>
        <w:rPr>
          <w:sz w:val="22"/>
          <w:szCs w:val="22"/>
        </w:rPr>
        <w:t xml:space="preserve"> odôvodnenie- zriadenie tréningového bývania v Dankovom dome pre 14 PSS. Tento stav si vyžaduje vyčlenenie jedného pracovníka len pre potreby kontinuálnej prípravy PSS na samostatnejší život a v prvom rade na nácvik samoobslužných činností- samostatné bývanie, príprava jedla, nakupovanie, s tým je spojený nácvik finančnej gramotnosti, pranie, upratovanie, aktivizačné činnosti, príprava na pracovný trh.</w:t>
      </w:r>
    </w:p>
    <w:p>
      <w:pPr>
        <w:pStyle w:val="Normal"/>
        <w:spacing w:before="0" w:after="0"/>
        <w:jc w:val="both"/>
        <w:rPr/>
      </w:pPr>
      <w:r>
        <w:rPr>
          <w:i/>
          <w:iCs/>
          <w:sz w:val="22"/>
          <w:szCs w:val="22"/>
        </w:rPr>
        <w:t>Nárast o 1 pracovníka- sestra</w:t>
      </w:r>
      <w:r>
        <w:rPr>
          <w:sz w:val="22"/>
          <w:szCs w:val="22"/>
        </w:rPr>
        <w:t xml:space="preserve">- odôvodnenie- nárast ošetrovateľských a opatrovateľských výkonov, vyplývajúcich z diagnostickej skladby PSS. </w:t>
      </w:r>
    </w:p>
    <w:p>
      <w:pPr>
        <w:pStyle w:val="Normal"/>
        <w:spacing w:before="0" w:after="0"/>
        <w:jc w:val="both"/>
        <w:rPr>
          <w:bCs/>
          <w:sz w:val="22"/>
          <w:szCs w:val="22"/>
        </w:rPr>
      </w:pPr>
      <w:r>
        <w:rPr>
          <w:bCs/>
          <w:sz w:val="22"/>
          <w:szCs w:val="22"/>
        </w:rPr>
        <w:t>Zariadenie žiadalo o zmenu organizačnej štruktúry o dvoch zamestnancov. V uvedenom období nám nebolo schválené navýšenie zamestnancov. V objekte Dankov dom sme zriadili tréningové bývanie pre 14 PSS, ktoré sme museli personálne zabezpečiť z kmeňových zamestnancov, čo prirodzene viedlo k navýšeniu počtu klientov na jedného zamestnanca v priamom kontakte u ostatných zamestnancov.</w:t>
      </w:r>
    </w:p>
    <w:p>
      <w:pPr>
        <w:pStyle w:val="Normal"/>
        <w:spacing w:before="0" w:after="0"/>
        <w:jc w:val="both"/>
        <w:rPr>
          <w:bCs/>
          <w:sz w:val="22"/>
          <w:szCs w:val="22"/>
        </w:rPr>
      </w:pPr>
      <w:r>
        <w:rPr>
          <w:bCs/>
          <w:sz w:val="22"/>
          <w:szCs w:val="22"/>
        </w:rPr>
      </w:r>
    </w:p>
    <w:p>
      <w:pPr>
        <w:pStyle w:val="Normal"/>
        <w:spacing w:before="0" w:after="0"/>
        <w:rPr>
          <w:sz w:val="22"/>
          <w:szCs w:val="22"/>
        </w:rPr>
      </w:pPr>
      <w:r>
        <w:rPr>
          <w:b/>
          <w:sz w:val="22"/>
          <w:szCs w:val="22"/>
        </w:rPr>
        <w:t>2. etapa roky 2023</w:t>
      </w:r>
      <w:r>
        <w:rPr>
          <w:sz w:val="22"/>
          <w:szCs w:val="22"/>
        </w:rPr>
        <w:t xml:space="preserve">- nárast o 8 odborných zamestnancov, odôvodnenie, rozšírenie poskytovaných služieb po transformácii. </w:t>
      </w:r>
    </w:p>
    <w:p>
      <w:pPr>
        <w:pStyle w:val="Normal"/>
        <w:spacing w:before="0" w:after="0"/>
        <w:rPr>
          <w:b/>
          <w:b/>
          <w:sz w:val="22"/>
          <w:szCs w:val="22"/>
        </w:rPr>
      </w:pPr>
      <w:r>
        <w:rPr>
          <w:b/>
          <w:sz w:val="22"/>
          <w:szCs w:val="22"/>
        </w:rPr>
      </w:r>
    </w:p>
    <w:p>
      <w:pPr>
        <w:pStyle w:val="Normal"/>
        <w:jc w:val="both"/>
        <w:rPr>
          <w:sz w:val="22"/>
          <w:szCs w:val="22"/>
        </w:rPr>
      </w:pPr>
      <w:r>
        <w:rPr>
          <w:sz w:val="22"/>
          <w:szCs w:val="22"/>
        </w:rPr>
      </w:r>
    </w:p>
    <w:p>
      <w:pPr>
        <w:pStyle w:val="Normal"/>
        <w:jc w:val="both"/>
        <w:rPr>
          <w:sz w:val="22"/>
          <w:szCs w:val="22"/>
        </w:rPr>
      </w:pPr>
      <w:r>
        <w:rPr>
          <w:sz w:val="22"/>
          <w:szCs w:val="22"/>
        </w:rPr>
        <w:t xml:space="preserve">V personálnej skladbe sme kreovali počty zamestnancov podľa charakteru poskytovanej služby. V špecializovanom zariadení vidíme opodstatnenie pozícií opatrovateliek a sestry, kde skladba PSS bude značne náročná na poskytovanie ošetrovateľsko-opatrovateľsko- sociálnej starostlivosti aj vzhľadom na  zdravotné znevýhodnenia klientov. </w:t>
      </w:r>
    </w:p>
    <w:p>
      <w:pPr>
        <w:pStyle w:val="Normal"/>
        <w:jc w:val="both"/>
        <w:rPr>
          <w:sz w:val="22"/>
          <w:szCs w:val="22"/>
        </w:rPr>
      </w:pPr>
      <w:r>
        <w:rPr>
          <w:sz w:val="22"/>
          <w:szCs w:val="22"/>
        </w:rPr>
        <w:t xml:space="preserve">V zariadení podporovaného bývania predpokladáme postupné preklasifikovanie pracovných pozícií. Konkrétne z pozície opatrovateľka na pozíciu ISR, alebo sociálny pracovník, alebo asistent sociálnej práce. Nebránime sa premenovaniu spomínaných pozícií napr. na bytového asistenta, samozrejme za opory v platnej legislatíve a za zakomponovania presných kritérií na takúto pozíciu. V začiatkoch po transformácii, vidíme priestor pre naplánované pozície. Predpokladáme, že budeme využívať aj pracovného asistenta, alebo osobného asistenta. Po reštruktualizácii pracovných miest v ZPB, budú niektorí odborní zamestnanci zaradení do Centra denných aktivít. Zatiaľ budú zamestnanci zo spomínaných sociálnych služieb sprevádzať PSS do centra denných aktivít, kde sa im budú venovať.  Aj pozície ako kuchárka a vodič budú postupne eliminované v ZPB a presunú sa do ŠZ a DSS alebo prejdú rekvalifikáciou a následne ich zaradíme na rekvalifikované pozície. </w:t>
      </w:r>
    </w:p>
    <w:p>
      <w:pPr>
        <w:pStyle w:val="Normal"/>
        <w:jc w:val="both"/>
        <w:rPr>
          <w:sz w:val="22"/>
          <w:szCs w:val="22"/>
        </w:rPr>
      </w:pPr>
      <w:r>
        <w:rPr>
          <w:sz w:val="22"/>
          <w:szCs w:val="22"/>
        </w:rPr>
        <w:t>Po transformácii prehodnotíme počty zamestnancov a budeme ich zaraďovať do jednotlivých objektov podľa potrieb klientov. S celým procesom súvisí aj nové nastavenie pracovných činností u rekvalifikovaných pozícií. Súčasťou je a bude vzdelávanie zamestnancov, ktoré je priam nevyhnutné, aby celá transformácia mala zmysel ľudský, nielen zmysel úpravy fyzického prostredia.</w:t>
      </w:r>
    </w:p>
    <w:p>
      <w:pPr>
        <w:pStyle w:val="Normal"/>
        <w:jc w:val="both"/>
        <w:rPr>
          <w:sz w:val="22"/>
          <w:szCs w:val="22"/>
        </w:rPr>
      </w:pPr>
      <w:r>
        <w:rPr>
          <w:sz w:val="22"/>
          <w:szCs w:val="22"/>
        </w:rPr>
        <w:t>V celom novom ponímaní poskytovania sociálnych služieb budeme klásť dôraz na individualitu a holistický prístup. V nových pracovných činnostiach presne zadefinujeme právomoci a zodpovednosti zamestnancov s akcentom na podporu zodpovednosti v rozhodnutiach, ktoré si urobí klient sám. Nastane zmena v zadefinovaní zodpovednosti za klienta za zodpovednosť voči klientovi.</w:t>
      </w:r>
    </w:p>
    <w:p>
      <w:pPr>
        <w:pStyle w:val="Normal"/>
        <w:jc w:val="both"/>
        <w:rPr>
          <w:sz w:val="22"/>
          <w:szCs w:val="22"/>
        </w:rPr>
      </w:pPr>
      <w:r>
        <w:rPr>
          <w:sz w:val="22"/>
          <w:szCs w:val="22"/>
        </w:rPr>
      </w:r>
    </w:p>
    <w:p>
      <w:pPr>
        <w:pStyle w:val="Normal"/>
        <w:spacing w:before="0" w:after="0"/>
        <w:jc w:val="both"/>
        <w:rPr>
          <w:rFonts w:ascii="Calibri" w:hAnsi="Calibri" w:asciiTheme="minorHAnsi" w:hAnsiTheme="minorHAnsi"/>
          <w:sz w:val="22"/>
          <w:szCs w:val="22"/>
        </w:rPr>
      </w:pPr>
      <w:r>
        <w:rPr>
          <w:rFonts w:asciiTheme="minorHAnsi" w:hAnsiTheme="minorHAnsi" w:ascii="Calibri" w:hAnsi="Calibri"/>
          <w:sz w:val="22"/>
          <w:szCs w:val="22"/>
        </w:rPr>
      </w:r>
    </w:p>
    <w:tbl>
      <w:tblPr>
        <w:tblW w:w="9124" w:type="dxa"/>
        <w:jc w:val="left"/>
        <w:tblInd w:w="18" w:type="dxa"/>
        <w:tblCellMar>
          <w:top w:w="0" w:type="dxa"/>
          <w:left w:w="70" w:type="dxa"/>
          <w:bottom w:w="0" w:type="dxa"/>
          <w:right w:w="70" w:type="dxa"/>
        </w:tblCellMar>
        <w:tblLook w:val="0000"/>
      </w:tblPr>
      <w:tblGrid>
        <w:gridCol w:w="1914"/>
        <w:gridCol w:w="2161"/>
        <w:gridCol w:w="1"/>
        <w:gridCol w:w="198"/>
        <w:gridCol w:w="1"/>
        <w:gridCol w:w="960"/>
        <w:gridCol w:w="1"/>
        <w:gridCol w:w="963"/>
        <w:gridCol w:w="1"/>
        <w:gridCol w:w="1"/>
        <w:gridCol w:w="2922"/>
      </w:tblGrid>
      <w:tr>
        <w:trPr>
          <w:trHeight w:val="324" w:hRule="atLeast"/>
        </w:trPr>
        <w:tc>
          <w:tcPr>
            <w:tcW w:w="9123" w:type="dxa"/>
            <w:gridSpan w:val="11"/>
            <w:tcBorders>
              <w:top w:val="single" w:sz="8" w:space="0" w:color="000000"/>
              <w:left w:val="single" w:sz="8" w:space="0" w:color="000000"/>
              <w:bottom w:val="single" w:sz="8" w:space="0" w:color="000000"/>
              <w:right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Predpokladaný stav rozdelený na úväzky</w:t>
            </w:r>
          </w:p>
        </w:tc>
      </w:tr>
      <w:tr>
        <w:trPr>
          <w:trHeight w:val="324" w:hRule="atLeast"/>
        </w:trPr>
        <w:tc>
          <w:tcPr>
            <w:tcW w:w="4076" w:type="dxa"/>
            <w:gridSpan w:val="3"/>
            <w:tcBorders>
              <w:top w:val="single" w:sz="8" w:space="0" w:color="000000"/>
              <w:left w:val="single" w:sz="8" w:space="0" w:color="000000"/>
              <w:bottom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DSS - kaštieľ</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4848" w:type="dxa"/>
            <w:gridSpan w:val="6"/>
            <w:tcBorders>
              <w:top w:val="single" w:sz="8" w:space="0" w:color="000000"/>
              <w:left w:val="single" w:sz="8" w:space="0" w:color="000000"/>
              <w:bottom w:val="single" w:sz="8" w:space="0" w:color="000000"/>
              <w:right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ŠZ -Dankov dom</w:t>
            </w:r>
          </w:p>
        </w:tc>
      </w:tr>
      <w:tr>
        <w:trPr>
          <w:trHeight w:val="312" w:hRule="atLeast"/>
        </w:trPr>
        <w:tc>
          <w:tcPr>
            <w:tcW w:w="1914" w:type="dxa"/>
            <w:tcBorders>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riaditeľ</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riaditeľ</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zástupca riaditeľa</w:t>
            </w:r>
          </w:p>
        </w:tc>
        <w:tc>
          <w:tcPr>
            <w:tcW w:w="2161" w:type="dxa"/>
            <w:vMerge w:val="restart"/>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zástupca riaditeľa</w:t>
            </w:r>
          </w:p>
        </w:tc>
        <w:tc>
          <w:tcPr>
            <w:tcW w:w="2924" w:type="dxa"/>
            <w:gridSpan w:val="3"/>
            <w:vMerge w:val="restart"/>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mzdárka</w:t>
            </w:r>
          </w:p>
        </w:tc>
        <w:tc>
          <w:tcPr>
            <w:tcW w:w="2161" w:type="dxa"/>
            <w:vMerge w:val="continue"/>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Calibri" w:hAnsi="Calibri" w:eastAsia="Times New Roman"/>
                <w:color w:val="000000"/>
                <w:sz w:val="22"/>
                <w:szCs w:val="22"/>
                <w:lang w:eastAsia="sk-SK"/>
              </w:rPr>
            </w:pPr>
            <w:r>
              <w:rPr>
                <w:rFonts w:eastAsia="Times New Roman" w:ascii="Calibri" w:hAnsi="Calibri"/>
                <w:color w:val="000000"/>
                <w:sz w:val="22"/>
                <w:szCs w:val="22"/>
                <w:lang w:eastAsia="sk-SK"/>
              </w:rPr>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mzdárka</w:t>
            </w:r>
          </w:p>
        </w:tc>
        <w:tc>
          <w:tcPr>
            <w:tcW w:w="2924" w:type="dxa"/>
            <w:gridSpan w:val="3"/>
            <w:vMerge w:val="continue"/>
            <w:tcBorders>
              <w:left w:val="single" w:sz="4" w:space="0" w:color="000000"/>
              <w:bottom w:val="single" w:sz="4" w:space="0" w:color="000000"/>
              <w:right w:val="single" w:sz="8" w:space="0" w:color="000000"/>
            </w:tcBorders>
            <w:shd w:color="auto" w:fill="auto" w:val="clear"/>
            <w:vAlign w:val="bottom"/>
          </w:tcPr>
          <w:p>
            <w:pPr>
              <w:pStyle w:val="Normal"/>
              <w:snapToGrid w:val="false"/>
              <w:spacing w:lineRule="auto" w:line="240" w:before="0" w:after="0"/>
              <w:rPr>
                <w:rFonts w:ascii="Calibri" w:hAnsi="Calibri" w:eastAsia="Times New Roman"/>
                <w:color w:val="000000"/>
                <w:sz w:val="22"/>
                <w:szCs w:val="22"/>
                <w:lang w:eastAsia="sk-SK"/>
              </w:rPr>
            </w:pPr>
            <w:r>
              <w:rPr>
                <w:rFonts w:eastAsia="Times New Roman" w:ascii="Calibri" w:hAnsi="Calibri"/>
                <w:color w:val="000000"/>
                <w:sz w:val="22"/>
                <w:szCs w:val="22"/>
                <w:lang w:eastAsia="sk-SK"/>
              </w:rPr>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AHP</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AHP</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ekonómka, MK</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ekonómka, MK</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upratovačka</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upratovačka</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kuchárka</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0,9</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kuchárka</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0,9</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robot. v práč./uprat.</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0,4</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robot. v práč./uprat.</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0,4</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vodič, údržbár</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vodič, údržbár</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SP</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SP</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ISR</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ISR</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ved.zdrav.úseku</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1</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sestra</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1</w:t>
            </w:r>
          </w:p>
        </w:tc>
      </w:tr>
      <w:tr>
        <w:trPr>
          <w:trHeight w:val="324" w:hRule="atLeast"/>
        </w:trPr>
        <w:tc>
          <w:tcPr>
            <w:tcW w:w="1914" w:type="dxa"/>
            <w:tcBorders>
              <w:top w:val="single" w:sz="4" w:space="0" w:color="000000"/>
              <w:lef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OPA</w:t>
            </w:r>
          </w:p>
        </w:tc>
        <w:tc>
          <w:tcPr>
            <w:tcW w:w="2161" w:type="dxa"/>
            <w:tcBorders>
              <w:left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OPA</w:t>
            </w:r>
          </w:p>
        </w:tc>
        <w:tc>
          <w:tcPr>
            <w:tcW w:w="2924" w:type="dxa"/>
            <w:gridSpan w:val="3"/>
            <w:tcBorders>
              <w:left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5</w:t>
            </w:r>
          </w:p>
        </w:tc>
      </w:tr>
      <w:tr>
        <w:trPr>
          <w:trHeight w:val="324" w:hRule="atLeast"/>
        </w:trPr>
        <w:tc>
          <w:tcPr>
            <w:tcW w:w="1914" w:type="dxa"/>
            <w:tcBorders>
              <w:top w:val="single" w:sz="8" w:space="0" w:color="000000"/>
              <w:left w:val="single" w:sz="8" w:space="0" w:color="000000"/>
              <w:bottom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spolu</w:t>
            </w:r>
          </w:p>
        </w:tc>
        <w:tc>
          <w:tcPr>
            <w:tcW w:w="2161" w:type="dxa"/>
            <w:tcBorders>
              <w:top w:val="single" w:sz="8" w:space="0" w:color="000000"/>
              <w:left w:val="single" w:sz="4" w:space="0" w:color="000000"/>
              <w:bottom w:val="single" w:sz="8" w:space="0" w:color="000000"/>
            </w:tcBorders>
            <w:shd w:color="auto" w:fill="A1E7FD" w:val="clear"/>
            <w:vAlign w:val="bottom"/>
          </w:tcPr>
          <w:p>
            <w:pPr>
              <w:pStyle w:val="Normal"/>
              <w:spacing w:lineRule="auto" w:line="240" w:before="0" w:after="0"/>
              <w:jc w:val="right"/>
              <w:rPr>
                <w:rFonts w:ascii="Calibri" w:hAnsi="Calibri"/>
                <w:sz w:val="22"/>
                <w:szCs w:val="22"/>
              </w:rPr>
            </w:pPr>
            <w:r>
              <w:rPr>
                <w:rFonts w:eastAsia="Times New Roman" w:ascii="Calibri" w:hAnsi="Calibri"/>
                <w:b/>
                <w:bCs/>
                <w:color w:val="000000"/>
                <w:sz w:val="22"/>
                <w:szCs w:val="22"/>
                <w:lang w:eastAsia="sk-SK"/>
              </w:rPr>
              <w:t>9,8</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1925" w:type="dxa"/>
            <w:gridSpan w:val="4"/>
            <w:tcBorders>
              <w:top w:val="single" w:sz="8" w:space="0" w:color="000000"/>
              <w:left w:val="single" w:sz="8" w:space="0" w:color="000000"/>
              <w:bottom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spolu</w:t>
            </w:r>
          </w:p>
        </w:tc>
        <w:tc>
          <w:tcPr>
            <w:tcW w:w="2924" w:type="dxa"/>
            <w:gridSpan w:val="3"/>
            <w:tcBorders>
              <w:top w:val="single" w:sz="8" w:space="0" w:color="000000"/>
              <w:left w:val="single" w:sz="4" w:space="0" w:color="000000"/>
              <w:bottom w:val="single" w:sz="8" w:space="0" w:color="000000"/>
              <w:right w:val="single" w:sz="8" w:space="0" w:color="000000"/>
            </w:tcBorders>
            <w:shd w:color="auto" w:fill="A1E7FD" w:val="clear"/>
            <w:vAlign w:val="bottom"/>
          </w:tcPr>
          <w:p>
            <w:pPr>
              <w:pStyle w:val="Normal"/>
              <w:spacing w:lineRule="auto" w:line="240" w:before="0" w:after="0"/>
              <w:jc w:val="right"/>
              <w:rPr>
                <w:rFonts w:ascii="Calibri" w:hAnsi="Calibri"/>
                <w:sz w:val="22"/>
                <w:szCs w:val="22"/>
              </w:rPr>
            </w:pPr>
            <w:r>
              <w:rPr>
                <w:rFonts w:eastAsia="Times New Roman" w:ascii="Calibri" w:hAnsi="Calibri"/>
                <w:b/>
                <w:bCs/>
                <w:color w:val="000000"/>
                <w:sz w:val="22"/>
                <w:szCs w:val="22"/>
                <w:lang w:eastAsia="sk-SK"/>
              </w:rPr>
              <w:t>9,8</w:t>
            </w:r>
          </w:p>
        </w:tc>
      </w:tr>
      <w:tr>
        <w:trPr>
          <w:trHeight w:val="324" w:hRule="atLeast"/>
        </w:trPr>
        <w:tc>
          <w:tcPr>
            <w:tcW w:w="4076" w:type="dxa"/>
            <w:gridSpan w:val="3"/>
            <w:tcBorders>
              <w:top w:val="single" w:sz="8" w:space="0" w:color="000000"/>
              <w:left w:val="single" w:sz="8" w:space="0" w:color="000000"/>
              <w:bottom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ŠZ - Baboje dom</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4848" w:type="dxa"/>
            <w:gridSpan w:val="6"/>
            <w:tcBorders>
              <w:top w:val="single" w:sz="8" w:space="0" w:color="000000"/>
              <w:left w:val="single" w:sz="8" w:space="0" w:color="000000"/>
              <w:bottom w:val="single" w:sz="8" w:space="0" w:color="000000"/>
              <w:right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ZPB - ZH</w:t>
            </w:r>
          </w:p>
        </w:tc>
      </w:tr>
      <w:tr>
        <w:trPr>
          <w:trHeight w:val="312" w:hRule="atLeast"/>
        </w:trPr>
        <w:tc>
          <w:tcPr>
            <w:tcW w:w="1914" w:type="dxa"/>
            <w:tcBorders>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riaditeľ</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riaditeľ</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zástupca riaditeľa</w:t>
            </w:r>
          </w:p>
        </w:tc>
        <w:tc>
          <w:tcPr>
            <w:tcW w:w="2161" w:type="dxa"/>
            <w:vMerge w:val="restart"/>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zástupca riaditeľa</w:t>
            </w:r>
          </w:p>
        </w:tc>
        <w:tc>
          <w:tcPr>
            <w:tcW w:w="2924" w:type="dxa"/>
            <w:gridSpan w:val="3"/>
            <w:vMerge w:val="restart"/>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mzdárka</w:t>
            </w:r>
          </w:p>
        </w:tc>
        <w:tc>
          <w:tcPr>
            <w:tcW w:w="2161" w:type="dxa"/>
            <w:vMerge w:val="continue"/>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Calibri" w:hAnsi="Calibri" w:eastAsia="Times New Roman"/>
                <w:color w:val="000000"/>
                <w:sz w:val="22"/>
                <w:szCs w:val="22"/>
                <w:lang w:eastAsia="sk-SK"/>
              </w:rPr>
            </w:pPr>
            <w:r>
              <w:rPr>
                <w:rFonts w:eastAsia="Times New Roman" w:ascii="Calibri" w:hAnsi="Calibri"/>
                <w:color w:val="000000"/>
                <w:sz w:val="22"/>
                <w:szCs w:val="22"/>
                <w:lang w:eastAsia="sk-SK"/>
              </w:rPr>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mzdárka</w:t>
            </w:r>
          </w:p>
        </w:tc>
        <w:tc>
          <w:tcPr>
            <w:tcW w:w="2924" w:type="dxa"/>
            <w:gridSpan w:val="3"/>
            <w:vMerge w:val="continue"/>
            <w:tcBorders>
              <w:left w:val="single" w:sz="4" w:space="0" w:color="000000"/>
              <w:bottom w:val="single" w:sz="4" w:space="0" w:color="000000"/>
              <w:right w:val="single" w:sz="8" w:space="0" w:color="000000"/>
            </w:tcBorders>
            <w:shd w:color="auto" w:fill="auto" w:val="clear"/>
            <w:vAlign w:val="bottom"/>
          </w:tcPr>
          <w:p>
            <w:pPr>
              <w:pStyle w:val="Normal"/>
              <w:snapToGrid w:val="false"/>
              <w:spacing w:lineRule="auto" w:line="240" w:before="0" w:after="0"/>
              <w:rPr>
                <w:rFonts w:ascii="Calibri" w:hAnsi="Calibri" w:eastAsia="Times New Roman"/>
                <w:color w:val="000000"/>
                <w:sz w:val="22"/>
                <w:szCs w:val="22"/>
                <w:lang w:eastAsia="sk-SK"/>
              </w:rPr>
            </w:pPr>
            <w:r>
              <w:rPr>
                <w:rFonts w:eastAsia="Times New Roman" w:ascii="Calibri" w:hAnsi="Calibri"/>
                <w:color w:val="000000"/>
                <w:sz w:val="22"/>
                <w:szCs w:val="22"/>
                <w:lang w:eastAsia="sk-SK"/>
              </w:rPr>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AHP</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AHP</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ekonómka, MK</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ekonómka, MK</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upratovačka</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upratovačka</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kuchára</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0,9</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kuchárka</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0,3</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robot. v práč./uprat.</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robot. v práč./uprat.</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vodič, údržbár</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vodič, údržbár</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SP</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SP</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ISR</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ISR</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sestra</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1</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sestra</w:t>
            </w:r>
          </w:p>
        </w:tc>
        <w:tc>
          <w:tcPr>
            <w:tcW w:w="2924" w:type="dxa"/>
            <w:gridSpan w:val="3"/>
            <w:tcBorders>
              <w:left w:val="single" w:sz="4" w:space="0" w:color="000000"/>
              <w:bottom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w:t>
            </w:r>
          </w:p>
        </w:tc>
      </w:tr>
      <w:tr>
        <w:trPr>
          <w:trHeight w:val="324" w:hRule="atLeast"/>
        </w:trPr>
        <w:tc>
          <w:tcPr>
            <w:tcW w:w="1914" w:type="dxa"/>
            <w:tcBorders>
              <w:top w:val="single" w:sz="4" w:space="0" w:color="000000"/>
              <w:lef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OPA</w:t>
            </w:r>
          </w:p>
        </w:tc>
        <w:tc>
          <w:tcPr>
            <w:tcW w:w="2161" w:type="dxa"/>
            <w:tcBorders>
              <w:left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1925" w:type="dxa"/>
            <w:gridSpan w:val="4"/>
            <w:tcBorders>
              <w:top w:val="single" w:sz="4" w:space="0" w:color="000000"/>
              <w:lef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OPA</w:t>
            </w:r>
          </w:p>
        </w:tc>
        <w:tc>
          <w:tcPr>
            <w:tcW w:w="2924" w:type="dxa"/>
            <w:gridSpan w:val="3"/>
            <w:tcBorders>
              <w:left w:val="single" w:sz="4" w:space="0" w:color="000000"/>
              <w:right w:val="single" w:sz="8"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5</w:t>
            </w:r>
          </w:p>
        </w:tc>
      </w:tr>
      <w:tr>
        <w:trPr>
          <w:trHeight w:val="324" w:hRule="atLeast"/>
        </w:trPr>
        <w:tc>
          <w:tcPr>
            <w:tcW w:w="1914" w:type="dxa"/>
            <w:tcBorders>
              <w:top w:val="single" w:sz="8" w:space="0" w:color="000000"/>
              <w:left w:val="single" w:sz="8" w:space="0" w:color="000000"/>
              <w:bottom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spolu</w:t>
            </w:r>
          </w:p>
        </w:tc>
        <w:tc>
          <w:tcPr>
            <w:tcW w:w="2161" w:type="dxa"/>
            <w:tcBorders>
              <w:top w:val="single" w:sz="8" w:space="0" w:color="000000"/>
              <w:left w:val="single" w:sz="4" w:space="0" w:color="000000"/>
              <w:bottom w:val="single" w:sz="8" w:space="0" w:color="000000"/>
            </w:tcBorders>
            <w:shd w:color="auto" w:fill="A1E7FD" w:val="clear"/>
            <w:vAlign w:val="bottom"/>
          </w:tcPr>
          <w:p>
            <w:pPr>
              <w:pStyle w:val="Normal"/>
              <w:spacing w:lineRule="auto" w:line="240" w:before="0" w:after="0"/>
              <w:jc w:val="right"/>
              <w:rPr>
                <w:rFonts w:ascii="Calibri" w:hAnsi="Calibri"/>
                <w:sz w:val="22"/>
                <w:szCs w:val="22"/>
              </w:rPr>
            </w:pPr>
            <w:r>
              <w:rPr>
                <w:rFonts w:eastAsia="Times New Roman" w:ascii="Calibri" w:hAnsi="Calibri"/>
                <w:b/>
                <w:bCs/>
                <w:color w:val="000000"/>
                <w:sz w:val="22"/>
                <w:szCs w:val="22"/>
                <w:lang w:eastAsia="sk-SK"/>
              </w:rPr>
              <w:t>9,6</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1925" w:type="dxa"/>
            <w:gridSpan w:val="4"/>
            <w:tcBorders>
              <w:top w:val="single" w:sz="8" w:space="0" w:color="000000"/>
              <w:left w:val="single" w:sz="8" w:space="0" w:color="000000"/>
              <w:bottom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spolu</w:t>
            </w:r>
          </w:p>
        </w:tc>
        <w:tc>
          <w:tcPr>
            <w:tcW w:w="2924" w:type="dxa"/>
            <w:gridSpan w:val="3"/>
            <w:tcBorders>
              <w:top w:val="single" w:sz="8" w:space="0" w:color="000000"/>
              <w:left w:val="single" w:sz="4" w:space="0" w:color="000000"/>
              <w:bottom w:val="single" w:sz="8" w:space="0" w:color="000000"/>
              <w:right w:val="single" w:sz="8" w:space="0" w:color="000000"/>
            </w:tcBorders>
            <w:shd w:color="auto" w:fill="A1E7FD" w:val="clear"/>
            <w:vAlign w:val="bottom"/>
          </w:tcPr>
          <w:p>
            <w:pPr>
              <w:pStyle w:val="Normal"/>
              <w:spacing w:lineRule="auto" w:line="240" w:before="0" w:after="0"/>
              <w:jc w:val="right"/>
              <w:rPr>
                <w:rFonts w:ascii="Calibri" w:hAnsi="Calibri"/>
                <w:sz w:val="22"/>
                <w:szCs w:val="22"/>
              </w:rPr>
            </w:pPr>
            <w:r>
              <w:rPr>
                <w:rFonts w:eastAsia="Times New Roman" w:ascii="Calibri" w:hAnsi="Calibri"/>
                <w:b/>
                <w:bCs/>
                <w:color w:val="000000"/>
                <w:sz w:val="22"/>
                <w:szCs w:val="22"/>
                <w:lang w:eastAsia="sk-SK"/>
              </w:rPr>
              <w:t>7,3</w:t>
            </w:r>
          </w:p>
        </w:tc>
      </w:tr>
      <w:tr>
        <w:trPr>
          <w:trHeight w:val="324" w:hRule="atLeast"/>
        </w:trPr>
        <w:tc>
          <w:tcPr>
            <w:tcW w:w="4076" w:type="dxa"/>
            <w:gridSpan w:val="3"/>
            <w:tcBorders>
              <w:top w:val="single" w:sz="8" w:space="0" w:color="000000"/>
              <w:left w:val="single" w:sz="8" w:space="0" w:color="000000"/>
              <w:bottom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CDA</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2923" w:type="dxa"/>
            <w:gridSpan w:val="2"/>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12" w:hRule="atLeast"/>
        </w:trPr>
        <w:tc>
          <w:tcPr>
            <w:tcW w:w="1914" w:type="dxa"/>
            <w:tcBorders>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riaditeľ</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zástupca riaditeľa</w:t>
            </w:r>
          </w:p>
        </w:tc>
        <w:tc>
          <w:tcPr>
            <w:tcW w:w="2161" w:type="dxa"/>
            <w:vMerge w:val="restart"/>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mzdárka</w:t>
            </w:r>
          </w:p>
        </w:tc>
        <w:tc>
          <w:tcPr>
            <w:tcW w:w="2161" w:type="dxa"/>
            <w:vMerge w:val="continue"/>
            <w:tcBorders>
              <w:left w:val="single" w:sz="4" w:space="0" w:color="000000"/>
              <w:bottom w:val="single" w:sz="4" w:space="0" w:color="000000"/>
            </w:tcBorders>
            <w:shd w:color="auto" w:fill="auto" w:val="clear"/>
            <w:vAlign w:val="bottom"/>
          </w:tcPr>
          <w:p>
            <w:pPr>
              <w:pStyle w:val="Normal"/>
              <w:snapToGrid w:val="false"/>
              <w:spacing w:lineRule="auto" w:line="240" w:before="0" w:after="0"/>
              <w:rPr>
                <w:rFonts w:ascii="Calibri" w:hAnsi="Calibri" w:eastAsia="Times New Roman"/>
                <w:color w:val="000000"/>
                <w:sz w:val="22"/>
                <w:szCs w:val="22"/>
                <w:lang w:eastAsia="sk-SK"/>
              </w:rPr>
            </w:pPr>
            <w:r>
              <w:rPr>
                <w:rFonts w:eastAsia="Times New Roman" w:ascii="Calibri" w:hAnsi="Calibri"/>
                <w:color w:val="000000"/>
                <w:sz w:val="22"/>
                <w:szCs w:val="22"/>
                <w:lang w:eastAsia="sk-SK"/>
              </w:rPr>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AHP</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ekonómka, MK</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upratovačka</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vodič, údržbár</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0,2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12"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vedúca  so. úseku</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1</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24" w:hRule="atLeast"/>
        </w:trPr>
        <w:tc>
          <w:tcPr>
            <w:tcW w:w="1914" w:type="dxa"/>
            <w:tcBorders>
              <w:top w:val="single" w:sz="4" w:space="0" w:color="000000"/>
              <w:left w:val="single" w:sz="8" w:space="0" w:color="000000"/>
              <w:bottom w:val="single" w:sz="4"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ascii="Calibri" w:hAnsi="Calibri"/>
                <w:color w:val="000000"/>
                <w:sz w:val="22"/>
                <w:szCs w:val="22"/>
                <w:lang w:eastAsia="sk-SK"/>
              </w:rPr>
              <w:t>ISR</w:t>
            </w:r>
          </w:p>
        </w:tc>
        <w:tc>
          <w:tcPr>
            <w:tcW w:w="2161" w:type="dxa"/>
            <w:tcBorders>
              <w:left w:val="single" w:sz="4" w:space="0" w:color="000000"/>
              <w:bottom w:val="single" w:sz="4" w:space="0" w:color="000000"/>
            </w:tcBorders>
            <w:shd w:color="auto" w:fill="auto" w:val="clear"/>
            <w:vAlign w:val="bottom"/>
          </w:tcPr>
          <w:p>
            <w:pPr>
              <w:pStyle w:val="Normal"/>
              <w:spacing w:lineRule="auto" w:line="240" w:before="0" w:after="0"/>
              <w:jc w:val="right"/>
              <w:rPr>
                <w:rFonts w:ascii="Calibri" w:hAnsi="Calibri"/>
                <w:sz w:val="22"/>
                <w:szCs w:val="22"/>
              </w:rPr>
            </w:pPr>
            <w:r>
              <w:rPr>
                <w:rFonts w:eastAsia="Times New Roman" w:ascii="Calibri" w:hAnsi="Calibri"/>
                <w:color w:val="000000"/>
                <w:sz w:val="22"/>
                <w:szCs w:val="22"/>
                <w:lang w:eastAsia="sk-SK"/>
              </w:rPr>
              <w:t>2</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color w:val="000000"/>
                <w:sz w:val="22"/>
                <w:szCs w:val="22"/>
                <w:lang w:eastAsia="sk-SK"/>
              </w:rPr>
            </w:pPr>
            <w:r>
              <w:rPr>
                <w:rFonts w:eastAsia="Times New Roman" w:cs="Calibri" w:ascii="Calibri" w:hAnsi="Calibri"/>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24" w:hRule="atLeast"/>
        </w:trPr>
        <w:tc>
          <w:tcPr>
            <w:tcW w:w="1914" w:type="dxa"/>
            <w:tcBorders>
              <w:top w:val="single" w:sz="8" w:space="0" w:color="000000"/>
              <w:left w:val="single" w:sz="8" w:space="0" w:color="000000"/>
              <w:bottom w:val="single" w:sz="8" w:space="0" w:color="000000"/>
            </w:tcBorders>
            <w:shd w:color="auto" w:fill="A1E7FD" w:val="clear"/>
            <w:vAlign w:val="bottom"/>
          </w:tcPr>
          <w:p>
            <w:pPr>
              <w:pStyle w:val="Normal"/>
              <w:spacing w:lineRule="auto" w:line="240" w:before="0" w:after="0"/>
              <w:rPr>
                <w:rFonts w:ascii="Calibri" w:hAnsi="Calibri"/>
                <w:sz w:val="22"/>
                <w:szCs w:val="22"/>
              </w:rPr>
            </w:pPr>
            <w:r>
              <w:rPr>
                <w:rFonts w:eastAsia="Times New Roman" w:ascii="Calibri" w:hAnsi="Calibri"/>
                <w:b/>
                <w:bCs/>
                <w:color w:val="000000"/>
                <w:sz w:val="22"/>
                <w:szCs w:val="22"/>
                <w:lang w:eastAsia="sk-SK"/>
              </w:rPr>
              <w:t>spolu</w:t>
            </w:r>
          </w:p>
        </w:tc>
        <w:tc>
          <w:tcPr>
            <w:tcW w:w="2161" w:type="dxa"/>
            <w:tcBorders>
              <w:top w:val="single" w:sz="8" w:space="0" w:color="000000"/>
              <w:left w:val="single" w:sz="4" w:space="0" w:color="000000"/>
              <w:bottom w:val="single" w:sz="8" w:space="0" w:color="000000"/>
            </w:tcBorders>
            <w:shd w:color="auto" w:fill="A1E7FD" w:val="clear"/>
            <w:vAlign w:val="bottom"/>
          </w:tcPr>
          <w:p>
            <w:pPr>
              <w:pStyle w:val="Normal"/>
              <w:spacing w:lineRule="auto" w:line="240" w:before="0" w:after="0"/>
              <w:jc w:val="right"/>
              <w:rPr>
                <w:rFonts w:ascii="Calibri" w:hAnsi="Calibri"/>
                <w:sz w:val="22"/>
                <w:szCs w:val="22"/>
              </w:rPr>
            </w:pPr>
            <w:r>
              <w:rPr>
                <w:rFonts w:eastAsia="Times New Roman" w:ascii="Calibri" w:hAnsi="Calibri"/>
                <w:b/>
                <w:bCs/>
                <w:color w:val="000000"/>
                <w:sz w:val="22"/>
                <w:szCs w:val="22"/>
                <w:lang w:eastAsia="sk-SK"/>
              </w:rPr>
              <w:t>4,5</w:t>
            </w:r>
          </w:p>
        </w:tc>
        <w:tc>
          <w:tcPr>
            <w:tcW w:w="199" w:type="dxa"/>
            <w:gridSpan w:val="2"/>
            <w:tcBorders>
              <w:left w:val="single" w:sz="8" w:space="0" w:color="000000"/>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961" w:type="dxa"/>
            <w:gridSpan w:val="2"/>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964" w:type="dxa"/>
            <w:gridSpan w:val="2"/>
            <w:tcBorders/>
            <w:shd w:color="auto" w:fill="auto" w:val="clear"/>
            <w:vAlign w:val="bottom"/>
          </w:tcPr>
          <w:p>
            <w:pPr>
              <w:pStyle w:val="Normal"/>
              <w:snapToGrid w:val="false"/>
              <w:spacing w:lineRule="auto" w:line="240" w:before="0" w:after="0"/>
              <w:rPr>
                <w:rFonts w:ascii="Calibri" w:hAnsi="Calibri" w:eastAsia="Times New Roman" w:cs="Calibri"/>
                <w:b/>
                <w:b/>
                <w:bCs/>
                <w:color w:val="000000"/>
                <w:sz w:val="22"/>
                <w:szCs w:val="22"/>
                <w:lang w:eastAsia="sk-SK"/>
              </w:rPr>
            </w:pPr>
            <w:r>
              <w:rPr>
                <w:rFonts w:eastAsia="Times New Roman" w:cs="Calibri" w:ascii="Calibri" w:hAnsi="Calibri"/>
                <w:b/>
                <w:bCs/>
                <w:color w:val="000000"/>
                <w:sz w:val="22"/>
                <w:szCs w:val="22"/>
                <w:lang w:eastAsia="sk-SK"/>
              </w:rPr>
            </w:r>
          </w:p>
        </w:tc>
        <w:tc>
          <w:tcPr>
            <w:tcW w:w="2924" w:type="dxa"/>
            <w:gridSpan w:val="3"/>
            <w:tcBorders>
              <w:right w:val="single" w:sz="8" w:space="0" w:color="000000"/>
            </w:tcBorders>
            <w:shd w:color="auto" w:fill="auto" w:val="clear"/>
            <w:vAlign w:val="bottom"/>
          </w:tcPr>
          <w:p>
            <w:pPr>
              <w:pStyle w:val="Normal"/>
              <w:spacing w:lineRule="auto" w:line="240" w:before="0" w:after="0"/>
              <w:rPr>
                <w:rFonts w:ascii="Calibri" w:hAnsi="Calibri"/>
                <w:sz w:val="22"/>
                <w:szCs w:val="22"/>
              </w:rPr>
            </w:pPr>
            <w:r>
              <w:rPr>
                <w:rFonts w:eastAsia="Times New Roman" w:cs="Calibri" w:ascii="Calibri" w:hAnsi="Calibri"/>
                <w:color w:val="000000"/>
                <w:sz w:val="22"/>
                <w:szCs w:val="22"/>
                <w:lang w:eastAsia="sk-SK"/>
              </w:rPr>
              <w:t> </w:t>
            </w:r>
          </w:p>
        </w:tc>
      </w:tr>
      <w:tr>
        <w:trPr>
          <w:trHeight w:val="324" w:hRule="atLeast"/>
        </w:trPr>
        <w:tc>
          <w:tcPr>
            <w:tcW w:w="6201" w:type="dxa"/>
            <w:gridSpan w:val="10"/>
            <w:tcBorders>
              <w:top w:val="single" w:sz="8" w:space="0" w:color="000000"/>
              <w:left w:val="single" w:sz="8" w:space="0" w:color="000000"/>
              <w:bottom w:val="single" w:sz="8" w:space="0" w:color="000000"/>
            </w:tcBorders>
            <w:shd w:color="auto" w:fill="A1E7FD" w:val="clear"/>
            <w:vAlign w:val="bottom"/>
          </w:tcPr>
          <w:p>
            <w:pPr>
              <w:pStyle w:val="Normal"/>
              <w:spacing w:lineRule="auto" w:line="240" w:before="0" w:after="0"/>
              <w:rPr>
                <w:rFonts w:ascii="Calibri" w:hAnsi="Calibri"/>
                <w:sz w:val="22"/>
                <w:szCs w:val="22"/>
              </w:rPr>
            </w:pPr>
            <w:r>
              <w:rPr>
                <w:rFonts w:eastAsia="Times New Roman" w:ascii="Calibri" w:hAnsi="Calibri"/>
                <w:b/>
                <w:bCs/>
                <w:color w:val="000000"/>
                <w:sz w:val="22"/>
                <w:szCs w:val="22"/>
                <w:lang w:eastAsia="sk-SK"/>
              </w:rPr>
              <w:t xml:space="preserve">CELKOM SPOLU </w:t>
            </w:r>
          </w:p>
        </w:tc>
        <w:tc>
          <w:tcPr>
            <w:tcW w:w="2922" w:type="dxa"/>
            <w:tcBorders>
              <w:top w:val="single" w:sz="8" w:space="0" w:color="000000"/>
              <w:left w:val="single" w:sz="8" w:space="0" w:color="000000"/>
              <w:bottom w:val="single" w:sz="8" w:space="0" w:color="000000"/>
              <w:right w:val="single" w:sz="8" w:space="0" w:color="000000"/>
            </w:tcBorders>
            <w:shd w:color="auto" w:fill="A1E7FD" w:val="clear"/>
            <w:vAlign w:val="bottom"/>
          </w:tcPr>
          <w:p>
            <w:pPr>
              <w:pStyle w:val="Normal"/>
              <w:spacing w:lineRule="auto" w:line="240" w:before="0" w:after="0"/>
              <w:jc w:val="center"/>
              <w:rPr>
                <w:rFonts w:ascii="Calibri" w:hAnsi="Calibri"/>
                <w:sz w:val="22"/>
                <w:szCs w:val="22"/>
              </w:rPr>
            </w:pPr>
            <w:r>
              <w:rPr>
                <w:rFonts w:eastAsia="Times New Roman" w:ascii="Calibri" w:hAnsi="Calibri"/>
                <w:b/>
                <w:bCs/>
                <w:color w:val="000000"/>
                <w:sz w:val="22"/>
                <w:szCs w:val="22"/>
                <w:lang w:eastAsia="sk-SK"/>
              </w:rPr>
              <w:t>41</w:t>
            </w:r>
          </w:p>
        </w:tc>
      </w:tr>
    </w:tbl>
    <w:p>
      <w:pPr>
        <w:pStyle w:val="Normal"/>
        <w:spacing w:before="0" w:after="0"/>
        <w:rPr>
          <w:sz w:val="22"/>
          <w:szCs w:val="22"/>
        </w:rPr>
      </w:pPr>
      <w:r>
        <w:rPr>
          <w:sz w:val="22"/>
          <w:szCs w:val="22"/>
        </w:rPr>
        <w:t>Tabuľka 10 Personálna štruktúra po transformácii</w:t>
      </w:r>
    </w:p>
    <w:p>
      <w:pPr>
        <w:pStyle w:val="Nadpis11"/>
        <w:rPr/>
      </w:pPr>
      <w:bookmarkStart w:id="28" w:name="_Toc71021276"/>
      <w:r>
        <w:rPr>
          <w:rStyle w:val="Odkazintenzivn1"/>
          <w:b/>
          <w:bCs w:val="false"/>
          <w:caps w:val="false"/>
          <w:smallCaps w:val="false"/>
          <w:color w:val="2F5496"/>
          <w:spacing w:val="0"/>
        </w:rPr>
        <w:t>7. KOMUNIKAČNÁ STRATÉGIA</w:t>
      </w:r>
      <w:bookmarkEnd w:id="28"/>
    </w:p>
    <w:p>
      <w:pPr>
        <w:pStyle w:val="Normal"/>
        <w:spacing w:lineRule="atLeast" w:line="22" w:before="0" w:after="200"/>
        <w:contextualSpacing/>
        <w:jc w:val="both"/>
        <w:rPr/>
      </w:pPr>
      <w:r>
        <w:rPr/>
      </w:r>
    </w:p>
    <w:p>
      <w:pPr>
        <w:pStyle w:val="Normal"/>
        <w:spacing w:before="0" w:after="0"/>
        <w:contextualSpacing/>
        <w:jc w:val="both"/>
        <w:rPr/>
      </w:pPr>
      <w:r>
        <w:rPr>
          <w:rFonts w:cs="Calibri" w:ascii="Calibri" w:hAnsi="Calibri"/>
          <w:sz w:val="22"/>
        </w:rPr>
        <w:tab/>
      </w:r>
      <w:r>
        <w:rPr>
          <w:sz w:val="22"/>
        </w:rPr>
        <w:t>Komunikačná stratégia sa opiera o vyššie uvedenú, jasne definovanú víziu zariadenia a bude napomáhať cieľom zariadenia stanoveným v transformačnom pláne. Víziou komunikačnej stratégie je prostredie, ktoré rozumie a prijíma zmenenú situáciu zariadenia a jeho obyvateľov v procese transformácie.</w:t>
      </w:r>
    </w:p>
    <w:p>
      <w:pPr>
        <w:pStyle w:val="Normal"/>
        <w:spacing w:before="0" w:after="0"/>
        <w:contextualSpacing/>
        <w:jc w:val="both"/>
        <w:rPr>
          <w:b/>
          <w:b/>
          <w:sz w:val="22"/>
        </w:rPr>
      </w:pPr>
      <w:r>
        <w:rPr>
          <w:b/>
          <w:sz w:val="22"/>
        </w:rPr>
      </w:r>
    </w:p>
    <w:p>
      <w:pPr>
        <w:pStyle w:val="Normal"/>
        <w:spacing w:before="0" w:after="0"/>
        <w:contextualSpacing/>
        <w:jc w:val="both"/>
        <w:rPr/>
      </w:pPr>
      <w:r>
        <w:rPr>
          <w:sz w:val="22"/>
        </w:rPr>
        <w:t>Špecifickou víziou zariadenia je poskytovať sociálne služby, v ktorých budú občania partnermi zamestnancov bez ohľadu na mieru ich zdravotného postihnutia. Pri plánovaní a poskytovaní služieb sa rešpektujú individuálne potreby jednotlivcov. Cieľom pre každého z nich sú dôstojné podmienky na život, podpora a sprevádzanie na ich ceste k čo najviac nezávislému životu v bežnom prostredí, ktoré podporuje ich základné ľudské potreby, práva a slobody.</w:t>
      </w:r>
    </w:p>
    <w:p>
      <w:pPr>
        <w:pStyle w:val="Normal"/>
        <w:spacing w:before="0" w:after="0"/>
        <w:contextualSpacing/>
        <w:jc w:val="both"/>
        <w:rPr>
          <w:sz w:val="22"/>
        </w:rPr>
      </w:pPr>
      <w:r>
        <w:rPr>
          <w:sz w:val="22"/>
        </w:rPr>
      </w:r>
    </w:p>
    <w:p>
      <w:pPr>
        <w:pStyle w:val="Normal"/>
        <w:spacing w:before="0" w:after="0"/>
        <w:contextualSpacing/>
        <w:jc w:val="both"/>
        <w:rPr/>
      </w:pPr>
      <w:r>
        <w:rPr>
          <w:sz w:val="22"/>
        </w:rPr>
        <w:t>Cieľom komunikačnej stratégie v rámci transformačného plánu je získať podporu a aktívnu účasť zainteresovaných subjektov na realizácii zmien v zariadení a službách pre jeho obyvateľov. Vysvetľovať a zdôvodňovať  zmeny, ktoré povedú k ich samostatnejšiemu životu v prirodzenom prostredí komunity a napĺňaniu ich základných ľudských práv.</w:t>
      </w:r>
    </w:p>
    <w:p>
      <w:pPr>
        <w:pStyle w:val="Normal"/>
        <w:spacing w:lineRule="atLeast" w:line="22" w:before="0" w:after="0"/>
        <w:contextualSpacing/>
        <w:jc w:val="both"/>
        <w:rPr/>
      </w:pPr>
      <w:r>
        <w:rPr/>
      </w:r>
    </w:p>
    <w:p>
      <w:pPr>
        <w:pStyle w:val="Nadpis21"/>
        <w:ind w:left="709" w:hanging="0"/>
        <w:rPr/>
      </w:pPr>
      <w:bookmarkStart w:id="29" w:name="_Toc71021277"/>
      <w:r>
        <w:rPr/>
        <w:t>7.1. Cieľové skupiny komunikačnej stratégie</w:t>
      </w:r>
      <w:bookmarkEnd w:id="29"/>
    </w:p>
    <w:p>
      <w:pPr>
        <w:pStyle w:val="Odstavecseseznamem1"/>
        <w:numPr>
          <w:ilvl w:val="0"/>
          <w:numId w:val="32"/>
        </w:numPr>
        <w:spacing w:before="0" w:after="0"/>
        <w:contextualSpacing/>
        <w:jc w:val="both"/>
        <w:rPr>
          <w:sz w:val="22"/>
        </w:rPr>
      </w:pPr>
      <w:r>
        <w:rPr>
          <w:sz w:val="22"/>
        </w:rPr>
        <w:t>Prijímatelia sociálnej služby</w:t>
      </w:r>
    </w:p>
    <w:p>
      <w:pPr>
        <w:pStyle w:val="Odstavecseseznamem1"/>
        <w:numPr>
          <w:ilvl w:val="0"/>
          <w:numId w:val="32"/>
        </w:numPr>
        <w:spacing w:before="0" w:after="0"/>
        <w:contextualSpacing/>
        <w:jc w:val="both"/>
        <w:rPr>
          <w:sz w:val="22"/>
        </w:rPr>
      </w:pPr>
      <w:r>
        <w:rPr>
          <w:sz w:val="22"/>
        </w:rPr>
        <w:t xml:space="preserve">Rodina a príbuzní, opatrovníci </w:t>
      </w:r>
    </w:p>
    <w:p>
      <w:pPr>
        <w:pStyle w:val="Odstavecseseznamem1"/>
        <w:numPr>
          <w:ilvl w:val="0"/>
          <w:numId w:val="32"/>
        </w:numPr>
        <w:spacing w:before="0" w:after="0"/>
        <w:contextualSpacing/>
        <w:jc w:val="both"/>
        <w:rPr>
          <w:sz w:val="22"/>
        </w:rPr>
      </w:pPr>
      <w:r>
        <w:rPr>
          <w:sz w:val="22"/>
        </w:rPr>
        <w:t>Zamestnanci sociálnych služieb</w:t>
      </w:r>
    </w:p>
    <w:p>
      <w:pPr>
        <w:pStyle w:val="Odstavecseseznamem1"/>
        <w:numPr>
          <w:ilvl w:val="0"/>
          <w:numId w:val="32"/>
        </w:numPr>
        <w:spacing w:before="0" w:after="0"/>
        <w:contextualSpacing/>
        <w:jc w:val="both"/>
        <w:rPr>
          <w:sz w:val="22"/>
        </w:rPr>
      </w:pPr>
      <w:r>
        <w:rPr>
          <w:sz w:val="22"/>
        </w:rPr>
        <w:t>Zriaďovateľ zariadenia – Úrad BBSK</w:t>
      </w:r>
    </w:p>
    <w:p>
      <w:pPr>
        <w:pStyle w:val="Odstavecseseznamem1"/>
        <w:numPr>
          <w:ilvl w:val="0"/>
          <w:numId w:val="32"/>
        </w:numPr>
        <w:spacing w:before="0" w:after="0"/>
        <w:contextualSpacing/>
        <w:jc w:val="both"/>
        <w:rPr>
          <w:sz w:val="22"/>
        </w:rPr>
      </w:pPr>
      <w:r>
        <w:rPr>
          <w:sz w:val="22"/>
        </w:rPr>
        <w:t>Verejnosť</w:t>
      </w:r>
    </w:p>
    <w:p>
      <w:pPr>
        <w:pStyle w:val="Odstavecseseznamem1"/>
        <w:numPr>
          <w:ilvl w:val="1"/>
          <w:numId w:val="5"/>
        </w:numPr>
        <w:spacing w:before="0" w:after="0"/>
        <w:contextualSpacing/>
        <w:jc w:val="both"/>
        <w:rPr>
          <w:sz w:val="22"/>
        </w:rPr>
      </w:pPr>
      <w:r>
        <w:rPr>
          <w:sz w:val="22"/>
        </w:rPr>
        <w:t>Predstavitelia samosprávy</w:t>
      </w:r>
    </w:p>
    <w:p>
      <w:pPr>
        <w:pStyle w:val="Odstavecseseznamem1"/>
        <w:numPr>
          <w:ilvl w:val="1"/>
          <w:numId w:val="5"/>
        </w:numPr>
        <w:spacing w:before="0" w:after="0"/>
        <w:contextualSpacing/>
        <w:jc w:val="both"/>
        <w:rPr>
          <w:sz w:val="22"/>
        </w:rPr>
      </w:pPr>
      <w:r>
        <w:rPr>
          <w:sz w:val="22"/>
        </w:rPr>
        <w:t>Aktéri v komunite – predstavitelia iných organizácii, spoločenského a kultúrneho života, zamestnávatelia</w:t>
      </w:r>
    </w:p>
    <w:p>
      <w:pPr>
        <w:pStyle w:val="Odstavecseseznamem1"/>
        <w:numPr>
          <w:ilvl w:val="1"/>
          <w:numId w:val="5"/>
        </w:numPr>
        <w:spacing w:before="0" w:after="0"/>
        <w:contextualSpacing/>
        <w:jc w:val="both"/>
        <w:rPr>
          <w:sz w:val="22"/>
        </w:rPr>
      </w:pPr>
      <w:r>
        <w:rPr>
          <w:sz w:val="22"/>
        </w:rPr>
        <w:t>Širšia verejnosť</w:t>
      </w:r>
    </w:p>
    <w:p>
      <w:pPr>
        <w:pStyle w:val="Odstavecseseznamem1"/>
        <w:spacing w:lineRule="atLeast" w:line="22" w:before="0" w:after="0"/>
        <w:ind w:left="1440" w:hanging="0"/>
        <w:contextualSpacing/>
        <w:jc w:val="both"/>
        <w:rPr>
          <w:sz w:val="22"/>
        </w:rPr>
      </w:pPr>
      <w:r>
        <w:rPr>
          <w:sz w:val="22"/>
        </w:rPr>
      </w:r>
    </w:p>
    <w:p>
      <w:pPr>
        <w:pStyle w:val="Nadpis21"/>
        <w:ind w:left="1070" w:hanging="360"/>
        <w:rPr/>
      </w:pPr>
      <w:bookmarkStart w:id="30" w:name="_Toc71021278"/>
      <w:r>
        <w:rPr/>
        <w:t>7.2. Analýza súčasnej komunikácie zariadenia vo vzťahu k vybraným cieľovým skupinám</w:t>
      </w:r>
      <w:bookmarkEnd w:id="30"/>
    </w:p>
    <w:tbl>
      <w:tblPr>
        <w:tblW w:w="8945" w:type="dxa"/>
        <w:jc w:val="center"/>
        <w:tblInd w:w="0" w:type="dxa"/>
        <w:tblCellMar>
          <w:top w:w="0" w:type="dxa"/>
          <w:left w:w="108" w:type="dxa"/>
          <w:bottom w:w="0" w:type="dxa"/>
          <w:right w:w="108" w:type="dxa"/>
        </w:tblCellMar>
        <w:tblLook w:val="0000"/>
      </w:tblPr>
      <w:tblGrid>
        <w:gridCol w:w="2780"/>
        <w:gridCol w:w="6164"/>
      </w:tblGrid>
      <w:tr>
        <w:trPr/>
        <w:tc>
          <w:tcPr>
            <w:tcW w:w="2780"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tLeast" w:line="22" w:before="0" w:after="0"/>
              <w:contextualSpacing/>
              <w:rPr>
                <w:b/>
                <w:b/>
              </w:rPr>
            </w:pPr>
            <w:r>
              <w:rPr>
                <w:rFonts w:cs="Calibri" w:ascii="Calibri" w:hAnsi="Calibri"/>
                <w:b/>
                <w:sz w:val="20"/>
              </w:rPr>
              <w:t>Prijímatelia sociálnej služby</w:t>
            </w:r>
          </w:p>
        </w:tc>
        <w:tc>
          <w:tcPr>
            <w:tcW w:w="616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Odstavecseseznamem1"/>
              <w:numPr>
                <w:ilvl w:val="0"/>
                <w:numId w:val="3"/>
              </w:numPr>
              <w:spacing w:lineRule="atLeast" w:line="22" w:before="0" w:after="0"/>
              <w:ind w:left="318" w:hanging="360"/>
              <w:contextualSpacing/>
              <w:rPr/>
            </w:pPr>
            <w:r>
              <w:rPr>
                <w:rFonts w:cs="Calibri" w:ascii="Calibri" w:hAnsi="Calibri"/>
                <w:bCs/>
                <w:sz w:val="20"/>
              </w:rPr>
              <w:t>Individuálne osobné rozhovory</w:t>
            </w:r>
          </w:p>
          <w:p>
            <w:pPr>
              <w:pStyle w:val="Odstavecseseznamem1"/>
              <w:numPr>
                <w:ilvl w:val="0"/>
                <w:numId w:val="3"/>
              </w:numPr>
              <w:spacing w:lineRule="atLeast" w:line="22" w:before="0" w:after="0"/>
              <w:ind w:left="318" w:hanging="360"/>
              <w:contextualSpacing/>
              <w:rPr/>
            </w:pPr>
            <w:r>
              <w:rPr>
                <w:rFonts w:cs="Calibri" w:ascii="Calibri" w:hAnsi="Calibri"/>
                <w:bCs/>
                <w:sz w:val="20"/>
              </w:rPr>
              <w:t>Informatívne skupinové stretnutia</w:t>
            </w:r>
          </w:p>
        </w:tc>
      </w:tr>
      <w:tr>
        <w:trPr/>
        <w:tc>
          <w:tcPr>
            <w:tcW w:w="2780"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tLeast" w:line="22" w:before="0" w:after="0"/>
              <w:ind w:left="29" w:hanging="0"/>
              <w:contextualSpacing/>
              <w:rPr>
                <w:b/>
                <w:b/>
              </w:rPr>
            </w:pPr>
            <w:r>
              <w:rPr>
                <w:rFonts w:cs="Calibri" w:ascii="Calibri" w:hAnsi="Calibri"/>
                <w:b/>
                <w:sz w:val="20"/>
              </w:rPr>
              <w:t>Rodina a príbuzní, opatrovníci</w:t>
            </w:r>
          </w:p>
        </w:tc>
        <w:tc>
          <w:tcPr>
            <w:tcW w:w="616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Odstavecseseznamem1"/>
              <w:numPr>
                <w:ilvl w:val="0"/>
                <w:numId w:val="15"/>
              </w:numPr>
              <w:spacing w:lineRule="atLeast" w:line="22" w:before="0" w:after="0"/>
              <w:ind w:left="318" w:hanging="360"/>
              <w:contextualSpacing/>
              <w:rPr/>
            </w:pPr>
            <w:r>
              <w:rPr>
                <w:rFonts w:cs="Calibri" w:ascii="Calibri" w:hAnsi="Calibri"/>
                <w:bCs/>
                <w:sz w:val="20"/>
              </w:rPr>
              <w:t>Pravidelné stretnutia rodinných príslušníkov min. 2x ročne</w:t>
            </w:r>
          </w:p>
          <w:p>
            <w:pPr>
              <w:pStyle w:val="Odstavecseseznamem1"/>
              <w:numPr>
                <w:ilvl w:val="0"/>
                <w:numId w:val="15"/>
              </w:numPr>
              <w:spacing w:lineRule="atLeast" w:line="22" w:before="0" w:after="0"/>
              <w:ind w:left="318" w:hanging="360"/>
              <w:contextualSpacing/>
              <w:rPr/>
            </w:pPr>
            <w:r>
              <w:rPr>
                <w:rFonts w:cs="Calibri" w:ascii="Calibri" w:hAnsi="Calibri"/>
                <w:bCs/>
                <w:sz w:val="20"/>
              </w:rPr>
              <w:t xml:space="preserve">Individuálne rozhovory </w:t>
            </w:r>
          </w:p>
          <w:p>
            <w:pPr>
              <w:pStyle w:val="Odstavecseseznamem1"/>
              <w:numPr>
                <w:ilvl w:val="0"/>
                <w:numId w:val="15"/>
              </w:numPr>
              <w:spacing w:lineRule="atLeast" w:line="22" w:before="0" w:after="0"/>
              <w:ind w:left="318" w:hanging="360"/>
              <w:contextualSpacing/>
              <w:rPr/>
            </w:pPr>
            <w:r>
              <w:rPr>
                <w:rFonts w:cs="Calibri" w:ascii="Calibri" w:hAnsi="Calibri"/>
                <w:bCs/>
                <w:sz w:val="20"/>
              </w:rPr>
              <w:t>Webová stránka</w:t>
            </w:r>
          </w:p>
          <w:p>
            <w:pPr>
              <w:pStyle w:val="Odstavecseseznamem1"/>
              <w:numPr>
                <w:ilvl w:val="0"/>
                <w:numId w:val="15"/>
              </w:numPr>
              <w:spacing w:lineRule="atLeast" w:line="22" w:before="0" w:after="0"/>
              <w:ind w:left="318" w:hanging="360"/>
              <w:contextualSpacing/>
              <w:rPr/>
            </w:pPr>
            <w:r>
              <w:rPr>
                <w:rFonts w:cs="Calibri" w:ascii="Calibri" w:hAnsi="Calibri"/>
                <w:bCs/>
                <w:sz w:val="20"/>
              </w:rPr>
              <w:t>Profil na sociálnych sieťach</w:t>
            </w:r>
          </w:p>
        </w:tc>
      </w:tr>
      <w:tr>
        <w:trPr/>
        <w:tc>
          <w:tcPr>
            <w:tcW w:w="2780"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tLeast" w:line="22" w:before="0" w:after="0"/>
              <w:ind w:left="29" w:hanging="0"/>
              <w:contextualSpacing/>
              <w:rPr>
                <w:b/>
                <w:b/>
              </w:rPr>
            </w:pPr>
            <w:r>
              <w:rPr>
                <w:rFonts w:cs="Calibri" w:ascii="Calibri" w:hAnsi="Calibri"/>
                <w:b/>
                <w:sz w:val="20"/>
              </w:rPr>
              <w:t>Zamestnanci sociálnych služieb</w:t>
            </w:r>
          </w:p>
        </w:tc>
        <w:tc>
          <w:tcPr>
            <w:tcW w:w="616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Odstavecseseznamem1"/>
              <w:numPr>
                <w:ilvl w:val="0"/>
                <w:numId w:val="17"/>
              </w:numPr>
              <w:spacing w:lineRule="atLeast" w:line="22" w:before="0" w:after="0"/>
              <w:ind w:left="318" w:hanging="360"/>
              <w:contextualSpacing/>
              <w:rPr/>
            </w:pPr>
            <w:r>
              <w:rPr>
                <w:rFonts w:cs="Calibri" w:ascii="Calibri" w:hAnsi="Calibri"/>
                <w:bCs/>
                <w:sz w:val="20"/>
              </w:rPr>
              <w:t>Pravidelné stretnutia vedúcich úsekov  1 x týždenne</w:t>
            </w:r>
          </w:p>
          <w:p>
            <w:pPr>
              <w:pStyle w:val="Odstavecseseznamem1"/>
              <w:numPr>
                <w:ilvl w:val="0"/>
                <w:numId w:val="17"/>
              </w:numPr>
              <w:spacing w:lineRule="atLeast" w:line="22" w:before="0" w:after="0"/>
              <w:ind w:left="318" w:hanging="360"/>
              <w:contextualSpacing/>
              <w:rPr/>
            </w:pPr>
            <w:r>
              <w:rPr>
                <w:rFonts w:cs="Calibri" w:ascii="Calibri" w:hAnsi="Calibri"/>
                <w:bCs/>
                <w:sz w:val="20"/>
              </w:rPr>
              <w:t>Stretnutia vedúcich so zamestnancami na jednotlivých úsekoch 2x mesačne</w:t>
            </w:r>
          </w:p>
          <w:p>
            <w:pPr>
              <w:pStyle w:val="Odstavecseseznamem1"/>
              <w:numPr>
                <w:ilvl w:val="0"/>
                <w:numId w:val="17"/>
              </w:numPr>
              <w:spacing w:lineRule="atLeast" w:line="22" w:before="0" w:after="0"/>
              <w:ind w:left="318" w:hanging="360"/>
              <w:contextualSpacing/>
              <w:rPr/>
            </w:pPr>
            <w:r>
              <w:rPr>
                <w:rFonts w:cs="Calibri" w:ascii="Calibri" w:hAnsi="Calibri"/>
                <w:bCs/>
                <w:sz w:val="20"/>
              </w:rPr>
              <w:t>Stretnutia koordinátorov IP 1 x mesačne</w:t>
            </w:r>
          </w:p>
          <w:p>
            <w:pPr>
              <w:pStyle w:val="Odstavecseseznamem1"/>
              <w:numPr>
                <w:ilvl w:val="0"/>
                <w:numId w:val="17"/>
              </w:numPr>
              <w:spacing w:lineRule="atLeast" w:line="22" w:before="0" w:after="0"/>
              <w:ind w:left="318" w:hanging="360"/>
              <w:contextualSpacing/>
              <w:rPr/>
            </w:pPr>
            <w:r>
              <w:rPr>
                <w:rFonts w:cs="Calibri" w:ascii="Calibri" w:hAnsi="Calibri"/>
                <w:bCs/>
                <w:sz w:val="20"/>
              </w:rPr>
              <w:t>Prevádzkové porady pre všetkých zamestnancov 2 x ročne</w:t>
            </w:r>
          </w:p>
          <w:p>
            <w:pPr>
              <w:pStyle w:val="Odstavecseseznamem1"/>
              <w:numPr>
                <w:ilvl w:val="0"/>
                <w:numId w:val="17"/>
              </w:numPr>
              <w:spacing w:lineRule="atLeast" w:line="22" w:before="0" w:after="0"/>
              <w:ind w:left="318" w:hanging="360"/>
              <w:contextualSpacing/>
              <w:rPr/>
            </w:pPr>
            <w:r>
              <w:rPr>
                <w:rFonts w:cs="Calibri" w:ascii="Calibri" w:hAnsi="Calibri"/>
                <w:bCs/>
                <w:sz w:val="20"/>
              </w:rPr>
              <w:t>Teambuildingové aktivity pri rôznych príležitostiach (DOD, oslavy, koncerty ....)</w:t>
            </w:r>
          </w:p>
        </w:tc>
      </w:tr>
      <w:tr>
        <w:trPr/>
        <w:tc>
          <w:tcPr>
            <w:tcW w:w="2780"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tLeast" w:line="22" w:before="0" w:after="0"/>
              <w:ind w:left="29" w:hanging="0"/>
              <w:contextualSpacing/>
              <w:rPr>
                <w:b/>
                <w:b/>
              </w:rPr>
            </w:pPr>
            <w:r>
              <w:rPr>
                <w:rFonts w:cs="Calibri" w:ascii="Calibri" w:hAnsi="Calibri"/>
                <w:b/>
                <w:sz w:val="20"/>
              </w:rPr>
              <w:t>Zriaďovateľ zariadenia – Úrad BBSK</w:t>
            </w:r>
          </w:p>
        </w:tc>
        <w:tc>
          <w:tcPr>
            <w:tcW w:w="616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Odstavecseseznamem1"/>
              <w:numPr>
                <w:ilvl w:val="0"/>
                <w:numId w:val="16"/>
              </w:numPr>
              <w:spacing w:lineRule="atLeast" w:line="22" w:before="0" w:after="0"/>
              <w:ind w:left="318" w:hanging="360"/>
              <w:contextualSpacing/>
              <w:rPr/>
            </w:pPr>
            <w:r>
              <w:rPr>
                <w:rFonts w:cs="Calibri" w:ascii="Calibri" w:hAnsi="Calibri"/>
                <w:bCs/>
                <w:sz w:val="20"/>
              </w:rPr>
              <w:t>Registrácia nových služieb</w:t>
            </w:r>
          </w:p>
          <w:p>
            <w:pPr>
              <w:pStyle w:val="Odstavecseseznamem1"/>
              <w:numPr>
                <w:ilvl w:val="0"/>
                <w:numId w:val="16"/>
              </w:numPr>
              <w:spacing w:lineRule="atLeast" w:line="22" w:before="0" w:after="0"/>
              <w:ind w:left="318" w:hanging="360"/>
              <w:contextualSpacing/>
              <w:rPr/>
            </w:pPr>
            <w:r>
              <w:rPr>
                <w:rFonts w:cs="Calibri" w:ascii="Calibri" w:hAnsi="Calibri"/>
                <w:bCs/>
                <w:sz w:val="20"/>
              </w:rPr>
              <w:t>Komunikácia ohľadom registrácie nových druhov  SS a nových prevádzok</w:t>
            </w:r>
          </w:p>
        </w:tc>
      </w:tr>
      <w:tr>
        <w:trPr/>
        <w:tc>
          <w:tcPr>
            <w:tcW w:w="2780"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tLeast" w:line="22" w:before="0" w:after="0"/>
              <w:contextualSpacing/>
              <w:rPr>
                <w:b/>
                <w:b/>
              </w:rPr>
            </w:pPr>
            <w:r>
              <w:rPr>
                <w:rFonts w:cs="Calibri" w:ascii="Calibri" w:hAnsi="Calibri"/>
                <w:b/>
                <w:sz w:val="20"/>
              </w:rPr>
              <w:t>Verejnosť</w:t>
            </w:r>
          </w:p>
        </w:tc>
        <w:tc>
          <w:tcPr>
            <w:tcW w:w="616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Odstavecseseznamem1"/>
              <w:numPr>
                <w:ilvl w:val="0"/>
                <w:numId w:val="12"/>
              </w:numPr>
              <w:spacing w:lineRule="atLeast" w:line="22" w:before="0" w:after="0"/>
              <w:ind w:left="318" w:hanging="360"/>
              <w:contextualSpacing/>
              <w:rPr/>
            </w:pPr>
            <w:r>
              <w:rPr>
                <w:rFonts w:cs="Calibri" w:ascii="Calibri" w:hAnsi="Calibri"/>
                <w:bCs/>
                <w:sz w:val="20"/>
              </w:rPr>
              <w:t>Spolupráca s  obcou  – účasť na komunitných  aktivitách, pozývanie predstaviteľov obce i verejnosť  na aktivity zariadenia</w:t>
            </w:r>
          </w:p>
          <w:p>
            <w:pPr>
              <w:pStyle w:val="Odstavecseseznamem1"/>
              <w:numPr>
                <w:ilvl w:val="0"/>
                <w:numId w:val="12"/>
              </w:numPr>
              <w:spacing w:lineRule="atLeast" w:line="22" w:before="0" w:after="0"/>
              <w:ind w:left="318" w:hanging="360"/>
              <w:contextualSpacing/>
              <w:rPr/>
            </w:pPr>
            <w:r>
              <w:rPr>
                <w:rFonts w:cs="Calibri" w:ascii="Calibri" w:hAnsi="Calibri"/>
                <w:bCs/>
                <w:sz w:val="20"/>
              </w:rPr>
              <w:t>Spolupráca so školami – prednášky o dobrovoľníctve, otvorenie zariadenia pre prax študentov</w:t>
            </w:r>
          </w:p>
          <w:p>
            <w:pPr>
              <w:pStyle w:val="Odstavecseseznamem1"/>
              <w:numPr>
                <w:ilvl w:val="0"/>
                <w:numId w:val="12"/>
              </w:numPr>
              <w:spacing w:lineRule="atLeast" w:line="22" w:before="0" w:after="0"/>
              <w:ind w:left="318" w:hanging="360"/>
              <w:contextualSpacing/>
              <w:rPr/>
            </w:pPr>
            <w:r>
              <w:rPr>
                <w:rFonts w:cs="Calibri" w:ascii="Calibri" w:hAnsi="Calibri"/>
                <w:bCs/>
                <w:sz w:val="20"/>
              </w:rPr>
              <w:t>Spolupráca s dobrovoľníkmi – participácia dobrovoľníkov na projektoch a aktivitách zariadenia, zapájanie sa do celoslovenských Dní dobrovoľníctva</w:t>
            </w:r>
          </w:p>
          <w:p>
            <w:pPr>
              <w:pStyle w:val="Odstavecseseznamem1"/>
              <w:numPr>
                <w:ilvl w:val="0"/>
                <w:numId w:val="12"/>
              </w:numPr>
              <w:spacing w:lineRule="atLeast" w:line="22" w:before="0" w:after="0"/>
              <w:ind w:left="318" w:hanging="360"/>
              <w:contextualSpacing/>
              <w:rPr/>
            </w:pPr>
            <w:r>
              <w:rPr>
                <w:rFonts w:cs="Calibri" w:ascii="Calibri" w:hAnsi="Calibri"/>
                <w:bCs/>
                <w:sz w:val="20"/>
              </w:rPr>
              <w:t>Spolupráca s MVO organizáciami – spoločné projekty s OZ, NO, s ÚPsVaR, Agentúrou podporovaného zamestnávania v oblasti zamestnávania  a zamestnávateľmi v regióne</w:t>
            </w:r>
          </w:p>
          <w:p>
            <w:pPr>
              <w:pStyle w:val="Odstavecseseznamem1"/>
              <w:numPr>
                <w:ilvl w:val="0"/>
                <w:numId w:val="12"/>
              </w:numPr>
              <w:spacing w:lineRule="atLeast" w:line="22" w:before="0" w:after="0"/>
              <w:ind w:left="318" w:hanging="360"/>
              <w:contextualSpacing/>
              <w:rPr/>
            </w:pPr>
            <w:r>
              <w:rPr>
                <w:rFonts w:cs="Calibri" w:ascii="Calibri" w:hAnsi="Calibri"/>
                <w:bCs/>
                <w:sz w:val="20"/>
              </w:rPr>
              <w:t>Webová stránka</w:t>
            </w:r>
          </w:p>
          <w:p>
            <w:pPr>
              <w:pStyle w:val="Odstavecseseznamem1"/>
              <w:numPr>
                <w:ilvl w:val="0"/>
                <w:numId w:val="12"/>
              </w:numPr>
              <w:spacing w:lineRule="atLeast" w:line="22" w:before="0" w:after="0"/>
              <w:ind w:left="318" w:hanging="360"/>
              <w:contextualSpacing/>
              <w:rPr/>
            </w:pPr>
            <w:r>
              <w:rPr>
                <w:rFonts w:cs="Calibri" w:ascii="Calibri" w:hAnsi="Calibri"/>
                <w:bCs/>
                <w:sz w:val="20"/>
              </w:rPr>
              <w:t>Profil na sociálnych sieťach</w:t>
            </w:r>
          </w:p>
          <w:p>
            <w:pPr>
              <w:pStyle w:val="Odstavecseseznamem1"/>
              <w:numPr>
                <w:ilvl w:val="0"/>
                <w:numId w:val="12"/>
              </w:numPr>
              <w:spacing w:lineRule="atLeast" w:line="22" w:before="0" w:after="0"/>
              <w:ind w:left="318" w:hanging="360"/>
              <w:contextualSpacing/>
              <w:rPr/>
            </w:pPr>
            <w:r>
              <w:rPr>
                <w:rFonts w:cs="Calibri" w:ascii="Calibri" w:hAnsi="Calibri"/>
                <w:bCs/>
                <w:sz w:val="20"/>
              </w:rPr>
              <w:t xml:space="preserve">Komunikácia s médiami – fotografické výstavy, rozhovory, dokumentárny film, vydanie publikácie </w:t>
            </w:r>
          </w:p>
          <w:p>
            <w:pPr>
              <w:pStyle w:val="Odstavecseseznamem1"/>
              <w:numPr>
                <w:ilvl w:val="0"/>
                <w:numId w:val="12"/>
              </w:numPr>
              <w:spacing w:lineRule="atLeast" w:line="22" w:before="0" w:after="0"/>
              <w:ind w:left="318" w:hanging="360"/>
              <w:contextualSpacing/>
              <w:rPr/>
            </w:pPr>
            <w:r>
              <w:rPr>
                <w:rFonts w:cs="Calibri" w:ascii="Calibri" w:hAnsi="Calibri"/>
                <w:bCs/>
                <w:sz w:val="20"/>
              </w:rPr>
              <w:t xml:space="preserve">Predaj výrobkov z dielní – účasť na jarmokoch, dňoch mesta v ZH, LV a širšom okolí </w:t>
            </w:r>
          </w:p>
          <w:p>
            <w:pPr>
              <w:pStyle w:val="Odstavecseseznamem1"/>
              <w:numPr>
                <w:ilvl w:val="0"/>
                <w:numId w:val="12"/>
              </w:numPr>
              <w:spacing w:lineRule="atLeast" w:line="22" w:before="0" w:after="0"/>
              <w:ind w:left="318" w:hanging="360"/>
              <w:contextualSpacing/>
              <w:rPr/>
            </w:pPr>
            <w:r>
              <w:rPr>
                <w:rFonts w:cs="Calibri" w:ascii="Calibri" w:hAnsi="Calibri"/>
                <w:bCs/>
                <w:sz w:val="20"/>
              </w:rPr>
              <w:t>Účasť na : Radničkine trhy BA, Slovenská sporiteľňa BB, Sociálna poisťovňa ZH, Svet zdravia ZH a v okolitých obciach</w:t>
            </w:r>
          </w:p>
          <w:p>
            <w:pPr>
              <w:pStyle w:val="Odstavecseseznamem1"/>
              <w:numPr>
                <w:ilvl w:val="0"/>
                <w:numId w:val="12"/>
              </w:numPr>
              <w:spacing w:lineRule="atLeast" w:line="22" w:before="0" w:after="0"/>
              <w:ind w:left="318" w:hanging="360"/>
              <w:contextualSpacing/>
              <w:rPr/>
            </w:pPr>
            <w:r>
              <w:rPr>
                <w:rFonts w:cs="Calibri" w:ascii="Calibri" w:hAnsi="Calibri"/>
                <w:bCs/>
                <w:sz w:val="20"/>
              </w:rPr>
              <w:t>Susedská výpomoc</w:t>
            </w:r>
          </w:p>
        </w:tc>
      </w:tr>
    </w:tbl>
    <w:p>
      <w:pPr>
        <w:pStyle w:val="Normal"/>
        <w:spacing w:lineRule="atLeast" w:line="22" w:before="0" w:after="0"/>
        <w:contextualSpacing/>
        <w:jc w:val="both"/>
        <w:rPr>
          <w:bCs/>
          <w:sz w:val="22"/>
        </w:rPr>
      </w:pPr>
      <w:r>
        <w:rPr>
          <w:bCs/>
          <w:sz w:val="22"/>
        </w:rPr>
        <w:t>Tabuľka 11 Analýza komunikácie</w:t>
      </w:r>
    </w:p>
    <w:p>
      <w:pPr>
        <w:pStyle w:val="Normal"/>
        <w:spacing w:lineRule="atLeast" w:line="22" w:before="0" w:after="0"/>
        <w:contextualSpacing/>
        <w:jc w:val="both"/>
        <w:rPr>
          <w:bCs/>
          <w:sz w:val="22"/>
        </w:rPr>
      </w:pPr>
      <w:r>
        <w:rPr>
          <w:bCs/>
          <w:sz w:val="22"/>
        </w:rPr>
      </w:r>
    </w:p>
    <w:p>
      <w:pPr>
        <w:pStyle w:val="Normal"/>
        <w:spacing w:lineRule="atLeast" w:line="22" w:before="0" w:after="0"/>
        <w:contextualSpacing/>
        <w:jc w:val="both"/>
        <w:rPr/>
      </w:pPr>
      <w:r>
        <w:rPr>
          <w:sz w:val="22"/>
        </w:rPr>
        <w:t xml:space="preserve">Akčný plán komunikácie je súčasťou transformačného plánu ako Príloha č. 11. </w:t>
      </w:r>
    </w:p>
    <w:p>
      <w:pPr>
        <w:pStyle w:val="Nadpis11"/>
        <w:rPr/>
      </w:pPr>
      <w:bookmarkStart w:id="31" w:name="_Toc71021279"/>
      <w:r>
        <w:rPr>
          <w:rStyle w:val="Odkazintenzivn1"/>
          <w:b/>
          <w:bCs w:val="false"/>
          <w:caps w:val="false"/>
          <w:smallCaps w:val="false"/>
          <w:color w:val="2F5496"/>
          <w:spacing w:val="0"/>
        </w:rPr>
        <w:t>8. LOGISTIKA</w:t>
      </w:r>
      <w:bookmarkEnd w:id="31"/>
    </w:p>
    <w:p>
      <w:pPr>
        <w:pStyle w:val="Odstavecseseznamem1"/>
        <w:spacing w:lineRule="atLeast" w:line="22"/>
        <w:rPr/>
      </w:pPr>
      <w:r>
        <w:rPr/>
      </w:r>
    </w:p>
    <w:p>
      <w:pPr>
        <w:pStyle w:val="Odstavecseseznamem1"/>
        <w:spacing w:before="0" w:after="0"/>
        <w:ind w:left="0" w:hanging="0"/>
        <w:contextualSpacing/>
        <w:jc w:val="both"/>
        <w:rPr/>
      </w:pPr>
      <w:r>
        <w:rPr>
          <w:sz w:val="22"/>
        </w:rPr>
        <w:t xml:space="preserve">Transformácia DSS je dlhodobý proces, ktorý si vyžaduje logické prepojenie jednotlivých procesov a aktivít a ich optimálnu koordináciu v čase s cieľom dosiahnuť plánovanú víziu a ciele transformačného plánu. </w:t>
      </w:r>
    </w:p>
    <w:p>
      <w:pPr>
        <w:pStyle w:val="Nadpis21"/>
        <w:spacing w:before="240" w:after="0"/>
        <w:ind w:left="1070" w:hanging="360"/>
        <w:contextualSpacing/>
        <w:rPr/>
      </w:pPr>
      <w:bookmarkStart w:id="32" w:name="_Toc71021280"/>
      <w:r>
        <w:rPr/>
        <w:t>8.1.Transformačný plán</w:t>
      </w:r>
      <w:bookmarkEnd w:id="32"/>
    </w:p>
    <w:p>
      <w:pPr>
        <w:pStyle w:val="Odstavecseseznamem1"/>
        <w:spacing w:before="0" w:after="0"/>
        <w:ind w:left="0" w:hanging="0"/>
        <w:contextualSpacing/>
        <w:jc w:val="both"/>
        <w:rPr/>
      </w:pPr>
      <w:r>
        <w:rPr>
          <w:sz w:val="22"/>
        </w:rPr>
        <w:t>Transformačný plán je otvorený dokument, ktorého ciele a aktivity sa budú priebežne modifikovať a prispôsobovať vnútorným a vonkajším podmienkam organizácie a vonkajšieho prostredia v ktorom proces DI prebieha. Priebeh procesu transformácie DSS je navrhnutý v časovom horizonte 7 rokov a bude prebiehať v týchto špecifických etapách:</w:t>
      </w:r>
    </w:p>
    <w:p>
      <w:pPr>
        <w:pStyle w:val="Odstavecseseznamem1"/>
        <w:shd w:val="clear" w:color="auto" w:fill="FFFFFF" w:themeFill="background1"/>
        <w:spacing w:before="0" w:after="0"/>
        <w:contextualSpacing/>
        <w:jc w:val="both"/>
        <w:rPr>
          <w:sz w:val="22"/>
        </w:rPr>
      </w:pPr>
      <w:r>
        <w:rPr>
          <w:sz w:val="22"/>
        </w:rPr>
      </w:r>
    </w:p>
    <w:p>
      <w:pPr>
        <w:pStyle w:val="Odstavecseseznamem1"/>
        <w:numPr>
          <w:ilvl w:val="0"/>
          <w:numId w:val="19"/>
        </w:numPr>
        <w:shd w:val="clear" w:color="auto" w:fill="FFFFFF" w:themeFill="background1"/>
        <w:spacing w:before="0" w:after="0"/>
        <w:contextualSpacing/>
        <w:rPr/>
      </w:pPr>
      <w:r>
        <w:rPr>
          <w:sz w:val="22"/>
        </w:rPr>
        <w:t>Etapa prípravná</w:t>
        <w:tab/>
        <w:tab/>
        <w:t xml:space="preserve">             Časový harmonogram</w:t>
        <w:tab/>
        <w:t>2018 - 2021</w:t>
      </w:r>
    </w:p>
    <w:p>
      <w:pPr>
        <w:pStyle w:val="Odstavecseseznamem1"/>
        <w:numPr>
          <w:ilvl w:val="0"/>
          <w:numId w:val="19"/>
        </w:numPr>
        <w:shd w:val="clear" w:color="auto" w:fill="FFFFFF" w:themeFill="background1"/>
        <w:spacing w:before="0" w:after="0"/>
        <w:contextualSpacing/>
        <w:rPr/>
      </w:pPr>
      <w:r>
        <w:rPr>
          <w:sz w:val="22"/>
        </w:rPr>
        <w:t>Etapa prechodná</w:t>
        <w:tab/>
        <w:tab/>
        <w:t>Časový harmonogram</w:t>
        <w:tab/>
        <w:t>2021 – 2023</w:t>
      </w:r>
    </w:p>
    <w:p>
      <w:pPr>
        <w:pStyle w:val="Odstavecseseznamem1"/>
        <w:numPr>
          <w:ilvl w:val="0"/>
          <w:numId w:val="19"/>
        </w:numPr>
        <w:shd w:val="clear" w:color="auto" w:fill="FFFFFF" w:themeFill="background1"/>
        <w:spacing w:before="0" w:after="0"/>
        <w:contextualSpacing/>
        <w:rPr/>
      </w:pPr>
      <w:r>
        <w:rPr>
          <w:sz w:val="22"/>
        </w:rPr>
        <w:t>Etapa stabilizačná</w:t>
        <w:tab/>
        <w:tab/>
        <w:t xml:space="preserve">Časový harmonogram </w:t>
        <w:tab/>
        <w:t>2023 – 2025</w:t>
      </w:r>
    </w:p>
    <w:p>
      <w:pPr>
        <w:pStyle w:val="Nadpis21"/>
        <w:spacing w:before="240" w:after="0"/>
        <w:ind w:left="710" w:hanging="0"/>
        <w:contextualSpacing/>
        <w:rPr/>
      </w:pPr>
      <w:bookmarkStart w:id="33" w:name="_Toc71021281"/>
      <w:r>
        <w:rPr/>
        <w:t>8.2. Investičný projekt</w:t>
      </w:r>
      <w:bookmarkEnd w:id="33"/>
    </w:p>
    <w:tbl>
      <w:tblPr>
        <w:tblW w:w="9279" w:type="dxa"/>
        <w:jc w:val="center"/>
        <w:tblInd w:w="0" w:type="dxa"/>
        <w:tblCellMar>
          <w:top w:w="0" w:type="dxa"/>
          <w:left w:w="108" w:type="dxa"/>
          <w:bottom w:w="0" w:type="dxa"/>
          <w:right w:w="108" w:type="dxa"/>
        </w:tblCellMar>
        <w:tblLook w:val="0000"/>
      </w:tblPr>
      <w:tblGrid>
        <w:gridCol w:w="3643"/>
        <w:gridCol w:w="2268"/>
        <w:gridCol w:w="1700"/>
        <w:gridCol w:w="1667"/>
      </w:tblGrid>
      <w:tr>
        <w:trPr>
          <w:trHeight w:val="268" w:hRule="atLeast"/>
        </w:trPr>
        <w:tc>
          <w:tcPr>
            <w:tcW w:w="3643"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sz w:val="20"/>
                <w:szCs w:val="20"/>
              </w:rPr>
            </w:pPr>
            <w:r>
              <w:rPr>
                <w:rFonts w:cs="Calibri" w:ascii="Calibri" w:hAnsi="Calibri"/>
                <w:b/>
                <w:color w:val="000000"/>
                <w:sz w:val="20"/>
                <w:szCs w:val="20"/>
              </w:rPr>
              <w:t>Cieľ</w:t>
            </w:r>
          </w:p>
        </w:tc>
        <w:tc>
          <w:tcPr>
            <w:tcW w:w="2268"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sz w:val="20"/>
                <w:szCs w:val="20"/>
              </w:rPr>
            </w:pPr>
            <w:r>
              <w:rPr>
                <w:rFonts w:cs="Calibri" w:ascii="Calibri" w:hAnsi="Calibri"/>
                <w:b/>
                <w:color w:val="000000"/>
                <w:sz w:val="20"/>
                <w:szCs w:val="20"/>
              </w:rPr>
              <w:t>Aktivity</w:t>
            </w:r>
          </w:p>
        </w:tc>
        <w:tc>
          <w:tcPr>
            <w:tcW w:w="1700"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sz w:val="20"/>
                <w:szCs w:val="20"/>
              </w:rPr>
            </w:pPr>
            <w:r>
              <w:rPr>
                <w:rFonts w:cs="Calibri" w:ascii="Calibri" w:hAnsi="Calibri"/>
                <w:b/>
                <w:color w:val="000000"/>
                <w:sz w:val="20"/>
                <w:szCs w:val="20"/>
              </w:rPr>
              <w:t>Zodpovedná osoba</w:t>
            </w:r>
          </w:p>
        </w:tc>
        <w:tc>
          <w:tcPr>
            <w:tcW w:w="1667"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sz w:val="20"/>
                <w:szCs w:val="20"/>
              </w:rPr>
            </w:pPr>
            <w:r>
              <w:rPr>
                <w:rFonts w:cs="Calibri" w:ascii="Calibri" w:hAnsi="Calibri"/>
                <w:b/>
                <w:color w:val="000000"/>
                <w:sz w:val="20"/>
                <w:szCs w:val="20"/>
              </w:rPr>
              <w:t>Obdobie realizácie</w:t>
            </w:r>
          </w:p>
        </w:tc>
      </w:tr>
      <w:tr>
        <w:trPr>
          <w:trHeight w:val="927" w:hRule="atLeast"/>
        </w:trPr>
        <w:tc>
          <w:tcPr>
            <w:tcW w:w="3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 xml:space="preserve">Zabezpečenie všetkých kritérií, ktoré musí žiadateľ o EŠIF spĺňať </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Súhlas zastupiteľstva s podaním projektu na nenávratný príspevok z EŠIF</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color w:val="FF0000"/>
                <w:sz w:val="20"/>
                <w:szCs w:val="20"/>
              </w:rPr>
            </w:pPr>
            <w:r>
              <w:rPr>
                <w:rFonts w:cs="Calibri" w:ascii="Calibri" w:hAnsi="Calibri"/>
                <w:color w:val="FF0000"/>
                <w:sz w:val="20"/>
                <w:szCs w:val="20"/>
              </w:rPr>
              <w:t xml:space="preserve">Riaditeľka </w:t>
            </w:r>
          </w:p>
          <w:p>
            <w:pPr>
              <w:pStyle w:val="Odstavecseseznamem1"/>
              <w:spacing w:lineRule="auto" w:line="240" w:before="0" w:after="0"/>
              <w:ind w:left="0" w:hanging="0"/>
              <w:contextualSpacing/>
              <w:rPr>
                <w:color w:val="FF0000"/>
                <w:sz w:val="20"/>
                <w:szCs w:val="20"/>
              </w:rPr>
            </w:pPr>
            <w:r>
              <w:rPr>
                <w:rFonts w:cs="Calibri" w:ascii="Calibri" w:hAnsi="Calibri"/>
                <w:color w:val="FF0000"/>
                <w:sz w:val="20"/>
                <w:szCs w:val="20"/>
              </w:rPr>
              <w:t>Zástupca klientov</w:t>
            </w:r>
          </w:p>
          <w:p>
            <w:pPr>
              <w:pStyle w:val="Normal"/>
              <w:spacing w:lineRule="auto" w:line="240" w:before="0" w:after="0"/>
              <w:rPr>
                <w:rFonts w:ascii="Calibri" w:hAnsi="Calibri" w:cs="Calibri"/>
                <w:color w:val="FF0000"/>
                <w:sz w:val="20"/>
                <w:szCs w:val="20"/>
              </w:rPr>
            </w:pPr>
            <w:r>
              <w:rPr>
                <w:rFonts w:cs="Calibri" w:ascii="Calibri" w:hAnsi="Calibri"/>
                <w:color w:val="FF0000"/>
                <w:sz w:val="20"/>
                <w:szCs w:val="20"/>
              </w:rPr>
            </w:r>
          </w:p>
        </w:tc>
        <w:tc>
          <w:tcPr>
            <w:tcW w:w="1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August – október  2018</w:t>
            </w:r>
          </w:p>
        </w:tc>
      </w:tr>
      <w:tr>
        <w:trPr>
          <w:trHeight w:val="700" w:hRule="atLeast"/>
        </w:trPr>
        <w:tc>
          <w:tcPr>
            <w:tcW w:w="3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Zabezpečiť potrebné kofinancovanie zo strany zriaďovateľa v súlade s požiadavkou výzvy EŠIF</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Schválenie kofinancovania zastupiteľstvom BBSK</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Riaditeľka</w:t>
            </w:r>
          </w:p>
          <w:p>
            <w:pPr>
              <w:pStyle w:val="Normal"/>
              <w:spacing w:lineRule="auto" w:line="240" w:before="0" w:after="0"/>
              <w:rPr>
                <w:color w:val="FF0000"/>
                <w:sz w:val="20"/>
                <w:szCs w:val="20"/>
              </w:rPr>
            </w:pPr>
            <w:r>
              <w:rPr>
                <w:rFonts w:cs="Calibri" w:ascii="Calibri" w:hAnsi="Calibri"/>
                <w:color w:val="FF0000"/>
                <w:sz w:val="20"/>
                <w:szCs w:val="20"/>
              </w:rPr>
              <w:t>Ekonómka</w:t>
            </w:r>
          </w:p>
        </w:tc>
        <w:tc>
          <w:tcPr>
            <w:tcW w:w="1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August – december 2018</w:t>
            </w:r>
          </w:p>
        </w:tc>
      </w:tr>
      <w:tr>
        <w:trPr>
          <w:trHeight w:val="696" w:hRule="atLeast"/>
        </w:trPr>
        <w:tc>
          <w:tcPr>
            <w:tcW w:w="3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 xml:space="preserve">Spracovať Stavebné projekty na rekonštrukcie a novostavby objektov </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 xml:space="preserve">Spracovanie projektových zámerov v súlade s aktuálnou výzvou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Riaditeľka</w:t>
            </w:r>
          </w:p>
          <w:p>
            <w:pPr>
              <w:pStyle w:val="Normal"/>
              <w:spacing w:lineRule="auto" w:line="240" w:before="0" w:after="0"/>
              <w:rPr>
                <w:color w:val="FF0000"/>
                <w:sz w:val="20"/>
                <w:szCs w:val="20"/>
              </w:rPr>
            </w:pPr>
            <w:r>
              <w:rPr>
                <w:rFonts w:cs="Calibri" w:ascii="Calibri" w:hAnsi="Calibri"/>
                <w:color w:val="FF0000"/>
                <w:sz w:val="20"/>
                <w:szCs w:val="20"/>
              </w:rPr>
              <w:t>Ekonómka</w:t>
            </w:r>
          </w:p>
        </w:tc>
        <w:tc>
          <w:tcPr>
            <w:tcW w:w="1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November  2019</w:t>
            </w:r>
          </w:p>
          <w:p>
            <w:pPr>
              <w:pStyle w:val="Normal"/>
              <w:spacing w:lineRule="auto" w:line="240" w:before="0" w:after="0"/>
              <w:rPr>
                <w:color w:val="FF0000"/>
                <w:sz w:val="20"/>
                <w:szCs w:val="20"/>
              </w:rPr>
            </w:pPr>
            <w:r>
              <w:rPr>
                <w:rFonts w:cs="Calibri" w:ascii="Calibri" w:hAnsi="Calibri"/>
                <w:color w:val="FF0000"/>
                <w:sz w:val="20"/>
                <w:szCs w:val="20"/>
              </w:rPr>
              <w:t>január2020</w:t>
            </w:r>
          </w:p>
        </w:tc>
      </w:tr>
      <w:tr>
        <w:trPr>
          <w:trHeight w:val="524" w:hRule="atLeast"/>
        </w:trPr>
        <w:tc>
          <w:tcPr>
            <w:tcW w:w="3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Príprava pokladov pre projektové návrhy v súlade so stavebným zákonom</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Zabezpečenie stavebných povolení</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Riaditeľka</w:t>
            </w:r>
          </w:p>
          <w:p>
            <w:pPr>
              <w:pStyle w:val="Normal"/>
              <w:spacing w:lineRule="auto" w:line="240" w:before="0" w:after="0"/>
              <w:rPr>
                <w:color w:val="FF0000"/>
                <w:sz w:val="20"/>
                <w:szCs w:val="20"/>
              </w:rPr>
            </w:pPr>
            <w:r>
              <w:rPr>
                <w:rFonts w:cs="Calibri" w:ascii="Calibri" w:hAnsi="Calibri"/>
                <w:color w:val="FF0000"/>
                <w:sz w:val="20"/>
                <w:szCs w:val="20"/>
              </w:rPr>
              <w:t>Ekonómka</w:t>
            </w:r>
          </w:p>
        </w:tc>
        <w:tc>
          <w:tcPr>
            <w:tcW w:w="1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November 2019</w:t>
            </w:r>
          </w:p>
          <w:p>
            <w:pPr>
              <w:pStyle w:val="Normal"/>
              <w:spacing w:lineRule="auto" w:line="240" w:before="0" w:after="0"/>
              <w:rPr>
                <w:color w:val="FF0000"/>
                <w:sz w:val="20"/>
                <w:szCs w:val="20"/>
              </w:rPr>
            </w:pPr>
            <w:r>
              <w:rPr>
                <w:rFonts w:cs="Calibri" w:ascii="Calibri" w:hAnsi="Calibri"/>
                <w:color w:val="FF0000"/>
                <w:sz w:val="20"/>
                <w:szCs w:val="20"/>
              </w:rPr>
              <w:t>Február  2020</w:t>
            </w:r>
          </w:p>
        </w:tc>
      </w:tr>
      <w:tr>
        <w:trPr>
          <w:trHeight w:val="701" w:hRule="atLeast"/>
        </w:trPr>
        <w:tc>
          <w:tcPr>
            <w:tcW w:w="364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Podanie žiadosti o poskytnutie nenávratného finančného príspevku  IROP</w:t>
            </w:r>
          </w:p>
        </w:tc>
        <w:tc>
          <w:tcPr>
            <w:tcW w:w="22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Príprava pokladov, príloh a spísanie žiadosti o nenávratný príspevok</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sz w:val="20"/>
                <w:szCs w:val="20"/>
              </w:rPr>
            </w:pPr>
            <w:r>
              <w:rPr>
                <w:rFonts w:cs="Calibri" w:ascii="Calibri" w:hAnsi="Calibri"/>
                <w:color w:val="FF0000"/>
                <w:sz w:val="20"/>
                <w:szCs w:val="20"/>
              </w:rPr>
              <w:t>Riaditeľka</w:t>
            </w:r>
          </w:p>
          <w:p>
            <w:pPr>
              <w:pStyle w:val="Normal"/>
              <w:spacing w:lineRule="auto" w:line="240" w:before="0" w:after="0"/>
              <w:rPr>
                <w:color w:val="FF0000"/>
                <w:sz w:val="20"/>
                <w:szCs w:val="20"/>
              </w:rPr>
            </w:pPr>
            <w:r>
              <w:rPr>
                <w:rFonts w:cs="Calibri" w:ascii="Calibri" w:hAnsi="Calibri"/>
                <w:color w:val="FF0000"/>
                <w:sz w:val="20"/>
                <w:szCs w:val="20"/>
              </w:rPr>
              <w:t>Ekonómka</w:t>
            </w:r>
          </w:p>
        </w:tc>
        <w:tc>
          <w:tcPr>
            <w:tcW w:w="16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color w:val="FF0000"/>
                <w:sz w:val="20"/>
                <w:szCs w:val="20"/>
              </w:rPr>
            </w:pPr>
            <w:r>
              <w:rPr>
                <w:rFonts w:cs="Calibri" w:ascii="Calibri" w:hAnsi="Calibri"/>
                <w:color w:val="FF0000"/>
                <w:sz w:val="20"/>
                <w:szCs w:val="20"/>
              </w:rPr>
            </w:r>
          </w:p>
          <w:p>
            <w:pPr>
              <w:pStyle w:val="Normal"/>
              <w:spacing w:lineRule="auto" w:line="240" w:before="0" w:after="0"/>
              <w:rPr>
                <w:color w:val="FF0000"/>
                <w:sz w:val="20"/>
                <w:szCs w:val="20"/>
              </w:rPr>
            </w:pPr>
            <w:r>
              <w:rPr>
                <w:rFonts w:cs="Calibri" w:ascii="Calibri" w:hAnsi="Calibri"/>
                <w:color w:val="FF0000"/>
                <w:sz w:val="20"/>
                <w:szCs w:val="20"/>
              </w:rPr>
              <w:t>Február 2020</w:t>
            </w:r>
          </w:p>
          <w:p>
            <w:pPr>
              <w:pStyle w:val="Normal"/>
              <w:spacing w:lineRule="auto" w:line="240" w:before="0" w:after="0"/>
              <w:rPr>
                <w:rFonts w:ascii="Calibri" w:hAnsi="Calibri" w:cs="Calibri"/>
                <w:color w:val="FF0000"/>
                <w:sz w:val="20"/>
                <w:szCs w:val="20"/>
              </w:rPr>
            </w:pPr>
            <w:r>
              <w:rPr>
                <w:rFonts w:cs="Calibri" w:ascii="Calibri" w:hAnsi="Calibri"/>
                <w:color w:val="FF0000"/>
                <w:sz w:val="20"/>
                <w:szCs w:val="20"/>
              </w:rPr>
            </w:r>
          </w:p>
        </w:tc>
      </w:tr>
    </w:tbl>
    <w:p>
      <w:pPr>
        <w:pStyle w:val="Normal"/>
        <w:spacing w:lineRule="atLeast" w:line="22" w:before="0" w:after="200"/>
        <w:contextualSpacing/>
        <w:rPr>
          <w:sz w:val="22"/>
        </w:rPr>
      </w:pPr>
      <w:r>
        <w:rPr>
          <w:sz w:val="22"/>
        </w:rPr>
        <w:t>Tabuľka 12 Aktivity investičného projektu</w:t>
      </w:r>
    </w:p>
    <w:p>
      <w:pPr>
        <w:pStyle w:val="Normal"/>
        <w:spacing w:lineRule="atLeast" w:line="22" w:before="0" w:after="200"/>
        <w:contextualSpacing/>
        <w:rPr>
          <w:sz w:val="22"/>
        </w:rPr>
      </w:pPr>
      <w:r>
        <w:rPr>
          <w:sz w:val="22"/>
        </w:rPr>
        <w:t>Legenda- červeným sú označené už zrealizované aktivity</w:t>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rFonts w:ascii="Calibri" w:hAnsi="Calibri" w:cs="Calibri"/>
          <w:sz w:val="22"/>
        </w:rPr>
      </w:pPr>
      <w:r>
        <w:rPr>
          <w:rFonts w:cs="Calibri" w:ascii="Calibri" w:hAnsi="Calibri"/>
          <w:sz w:val="22"/>
        </w:rPr>
      </w:r>
    </w:p>
    <w:p>
      <w:pPr>
        <w:pStyle w:val="Nadpis21"/>
        <w:ind w:left="1070" w:hanging="360"/>
        <w:rPr/>
      </w:pPr>
      <w:bookmarkStart w:id="34" w:name="_Toc71021282"/>
      <w:r>
        <w:rPr/>
        <w:t>8.3.Príprava prijímateľov</w:t>
      </w:r>
      <w:bookmarkEnd w:id="34"/>
    </w:p>
    <w:tbl>
      <w:tblPr>
        <w:tblW w:w="9328" w:type="dxa"/>
        <w:jc w:val="center"/>
        <w:tblInd w:w="0" w:type="dxa"/>
        <w:tblCellMar>
          <w:top w:w="0" w:type="dxa"/>
          <w:left w:w="108" w:type="dxa"/>
          <w:bottom w:w="0" w:type="dxa"/>
          <w:right w:w="108" w:type="dxa"/>
        </w:tblCellMar>
        <w:tblLook w:val="0000"/>
      </w:tblPr>
      <w:tblGrid>
        <w:gridCol w:w="3526"/>
        <w:gridCol w:w="2562"/>
        <w:gridCol w:w="1685"/>
        <w:gridCol w:w="1554"/>
      </w:tblGrid>
      <w:tr>
        <w:trPr>
          <w:trHeight w:val="340" w:hRule="atLeast"/>
        </w:trPr>
        <w:tc>
          <w:tcPr>
            <w:tcW w:w="3526"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rPr>
            </w:pPr>
            <w:r>
              <w:rPr>
                <w:rFonts w:cs="Calibri" w:ascii="Calibri" w:hAnsi="Calibri"/>
                <w:b/>
                <w:color w:val="000000"/>
                <w:sz w:val="20"/>
              </w:rPr>
              <w:t>Cieľ</w:t>
            </w:r>
          </w:p>
        </w:tc>
        <w:tc>
          <w:tcPr>
            <w:tcW w:w="2562"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rPr>
            </w:pPr>
            <w:r>
              <w:rPr>
                <w:rFonts w:cs="Calibri" w:ascii="Calibri" w:hAnsi="Calibri"/>
                <w:b/>
                <w:color w:val="000000"/>
                <w:sz w:val="20"/>
              </w:rPr>
              <w:t>Aktivity</w:t>
            </w:r>
          </w:p>
        </w:tc>
        <w:tc>
          <w:tcPr>
            <w:tcW w:w="1685"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rPr>
            </w:pPr>
            <w:r>
              <w:rPr>
                <w:rFonts w:cs="Calibri" w:ascii="Calibri" w:hAnsi="Calibri"/>
                <w:b/>
                <w:color w:val="000000"/>
                <w:sz w:val="20"/>
              </w:rPr>
              <w:t>Zodpovedné osoby</w:t>
            </w:r>
          </w:p>
        </w:tc>
        <w:tc>
          <w:tcPr>
            <w:tcW w:w="1554"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rPr>
            </w:pPr>
            <w:r>
              <w:rPr>
                <w:rFonts w:cs="Calibri" w:ascii="Calibri" w:hAnsi="Calibri"/>
                <w:b/>
                <w:color w:val="000000"/>
                <w:sz w:val="20"/>
              </w:rPr>
              <w:t>Obdobie realizácie</w:t>
            </w:r>
          </w:p>
        </w:tc>
      </w:tr>
      <w:tr>
        <w:trPr>
          <w:trHeight w:val="986" w:hRule="atLeast"/>
        </w:trPr>
        <w:tc>
          <w:tcPr>
            <w:tcW w:w="3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Informovať prijímateľov a zamestnancov o transformačnom pláne</w:t>
            </w:r>
          </w:p>
        </w:tc>
        <w:tc>
          <w:tcPr>
            <w:tcW w:w="2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Oboznámenie s transformačným plánom na  stretnutiach  v jednotlivých prevádzkach</w:t>
            </w:r>
          </w:p>
        </w:tc>
        <w:tc>
          <w:tcPr>
            <w:tcW w:w="1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Riaditeľka a vedúci jednotlivých úsekov</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Január 2019 trvá</w:t>
            </w:r>
          </w:p>
        </w:tc>
      </w:tr>
      <w:tr>
        <w:trPr>
          <w:trHeight w:val="947" w:hRule="atLeast"/>
        </w:trPr>
        <w:tc>
          <w:tcPr>
            <w:tcW w:w="3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Zvýšiť právne vedomie prijímateľov o svojich právach a zodpovednosti, Dohovor o právach osôb so zdravotným znevýhodnením</w:t>
            </w:r>
          </w:p>
        </w:tc>
        <w:tc>
          <w:tcPr>
            <w:tcW w:w="2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 xml:space="preserve">Sebaobhajoba - krúžok </w:t>
            </w:r>
          </w:p>
        </w:tc>
        <w:tc>
          <w:tcPr>
            <w:tcW w:w="1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 xml:space="preserve">Riaditeľka </w:t>
            </w:r>
          </w:p>
          <w:p>
            <w:pPr>
              <w:pStyle w:val="Normal"/>
              <w:spacing w:lineRule="auto" w:line="240" w:before="0" w:after="0"/>
              <w:rPr>
                <w:color w:val="FF0000"/>
              </w:rPr>
            </w:pPr>
            <w:r>
              <w:rPr>
                <w:rFonts w:cs="Calibri" w:ascii="Calibri" w:hAnsi="Calibri"/>
                <w:color w:val="FF0000"/>
                <w:sz w:val="20"/>
              </w:rPr>
              <w:t>Ved. soc. úseku</w:t>
            </w:r>
          </w:p>
          <w:p>
            <w:pPr>
              <w:pStyle w:val="Normal"/>
              <w:spacing w:lineRule="auto" w:line="240" w:before="0" w:after="0"/>
              <w:rPr>
                <w:color w:val="FF0000"/>
              </w:rPr>
            </w:pPr>
            <w:r>
              <w:rPr>
                <w:rFonts w:cs="Calibri" w:ascii="Calibri" w:hAnsi="Calibri"/>
                <w:color w:val="FF0000"/>
                <w:sz w:val="20"/>
              </w:rPr>
              <w:t>Dobrovoľníci</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priebežne</w:t>
            </w:r>
          </w:p>
        </w:tc>
      </w:tr>
      <w:tr>
        <w:trPr>
          <w:trHeight w:val="737" w:hRule="atLeast"/>
        </w:trPr>
        <w:tc>
          <w:tcPr>
            <w:tcW w:w="3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Príprava a aktivizácia prijímateľov soc. služieb na samostatný život</w:t>
            </w:r>
          </w:p>
        </w:tc>
        <w:tc>
          <w:tcPr>
            <w:tcW w:w="2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Individuálne plánovanie – príprava na samostatný život</w:t>
            </w:r>
          </w:p>
        </w:tc>
        <w:tc>
          <w:tcPr>
            <w:tcW w:w="1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Koordinátori individuálnych plánov</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FF0000"/>
              </w:rPr>
            </w:pPr>
            <w:r>
              <w:rPr>
                <w:rFonts w:cs="Calibri" w:ascii="Calibri" w:hAnsi="Calibri"/>
                <w:color w:val="FF0000"/>
                <w:sz w:val="20"/>
              </w:rPr>
              <w:t>priebežne</w:t>
            </w:r>
          </w:p>
        </w:tc>
      </w:tr>
      <w:tr>
        <w:trPr>
          <w:trHeight w:val="739" w:hRule="atLeast"/>
        </w:trPr>
        <w:tc>
          <w:tcPr>
            <w:tcW w:w="3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pPr>
            <w:r>
              <w:rPr>
                <w:rFonts w:cs="Calibri" w:ascii="Calibri" w:hAnsi="Calibri"/>
                <w:sz w:val="20"/>
              </w:rPr>
              <w:t xml:space="preserve">Pripraviť prijímateľov soc. služieb na samostatný život / </w:t>
            </w:r>
            <w:r>
              <w:rPr>
                <w:rFonts w:cs="Calibri" w:ascii="Calibri" w:hAnsi="Calibri"/>
                <w:color w:val="FF0000"/>
                <w:sz w:val="20"/>
              </w:rPr>
              <w:t>tréningové bývanie /</w:t>
            </w:r>
          </w:p>
        </w:tc>
        <w:tc>
          <w:tcPr>
            <w:tcW w:w="2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pPr>
            <w:r>
              <w:rPr>
                <w:rFonts w:cs="Calibri" w:ascii="Calibri" w:hAnsi="Calibri"/>
                <w:sz w:val="20"/>
              </w:rPr>
              <w:t>Nácvik nových zručností</w:t>
            </w:r>
          </w:p>
        </w:tc>
        <w:tc>
          <w:tcPr>
            <w:tcW w:w="1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pPr>
            <w:r>
              <w:rPr>
                <w:rFonts w:cs="Calibri" w:ascii="Calibri" w:hAnsi="Calibri"/>
                <w:sz w:val="20"/>
              </w:rPr>
              <w:t>Koordinátori individuálnych plánov</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color w:val="C9211E"/>
              </w:rPr>
            </w:pPr>
            <w:r>
              <w:rPr>
                <w:rFonts w:cs="Calibri" w:ascii="Calibri" w:hAnsi="Calibri"/>
                <w:color w:val="FF0000"/>
                <w:sz w:val="20"/>
              </w:rPr>
              <w:t>Október 2020</w:t>
            </w:r>
          </w:p>
          <w:p>
            <w:pPr>
              <w:pStyle w:val="Normal"/>
              <w:spacing w:lineRule="auto" w:line="240" w:before="0" w:after="0"/>
              <w:rPr/>
            </w:pPr>
            <w:r>
              <w:rPr>
                <w:rFonts w:cs="Calibri" w:ascii="Calibri" w:hAnsi="Calibri"/>
                <w:sz w:val="20"/>
              </w:rPr>
              <w:t>priebežne</w:t>
            </w:r>
          </w:p>
        </w:tc>
      </w:tr>
      <w:tr>
        <w:trPr>
          <w:trHeight w:val="867" w:hRule="atLeast"/>
        </w:trPr>
        <w:tc>
          <w:tcPr>
            <w:tcW w:w="35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pPr>
            <w:r>
              <w:rPr>
                <w:rFonts w:cs="Calibri" w:ascii="Calibri" w:hAnsi="Calibri"/>
                <w:sz w:val="20"/>
              </w:rPr>
              <w:t xml:space="preserve">Možnosť oboznámiť sa s príkladmi dobrej praxe v zahraničí </w:t>
            </w:r>
          </w:p>
        </w:tc>
        <w:tc>
          <w:tcPr>
            <w:tcW w:w="2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pPr>
            <w:r>
              <w:rPr>
                <w:rFonts w:cs="Calibri" w:ascii="Calibri" w:hAnsi="Calibri"/>
                <w:sz w:val="20"/>
              </w:rPr>
              <w:t>Návštevy iných zariadení</w:t>
            </w:r>
          </w:p>
        </w:tc>
        <w:tc>
          <w:tcPr>
            <w:tcW w:w="1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pPr>
            <w:r>
              <w:rPr>
                <w:rFonts w:cs="Calibri" w:ascii="Calibri" w:hAnsi="Calibri"/>
                <w:sz w:val="20"/>
              </w:rPr>
              <w:t xml:space="preserve">Poverený člen Transformačného tímu </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pPr>
            <w:r>
              <w:rPr>
                <w:rFonts w:cs="Calibri" w:ascii="Calibri" w:hAnsi="Calibri"/>
                <w:sz w:val="20"/>
              </w:rPr>
              <w:t>priebežne</w:t>
            </w:r>
          </w:p>
        </w:tc>
      </w:tr>
    </w:tbl>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szCs w:val="22"/>
        </w:rPr>
        <w:t>Tabuľka 13 Aktivity príprava prijímateľov sociálnej služby</w:t>
      </w:r>
    </w:p>
    <w:p>
      <w:pPr>
        <w:pStyle w:val="Normal"/>
        <w:spacing w:lineRule="atLeast" w:line="22" w:before="0" w:after="200"/>
        <w:contextualSpacing/>
        <w:rPr>
          <w:sz w:val="22"/>
        </w:rPr>
      </w:pPr>
      <w:r>
        <w:rPr>
          <w:sz w:val="22"/>
          <w:szCs w:val="22"/>
        </w:rPr>
        <w:t>Legenda- červeným sú označené už zrealizované aktivity</w:t>
      </w:r>
    </w:p>
    <w:p>
      <w:pPr>
        <w:pStyle w:val="Nadpis21"/>
        <w:spacing w:lineRule="atLeast" w:line="22"/>
        <w:rPr>
          <w:sz w:val="22"/>
          <w:szCs w:val="22"/>
        </w:rPr>
      </w:pPr>
      <w:r>
        <w:rPr>
          <w:sz w:val="22"/>
          <w:szCs w:val="22"/>
        </w:rPr>
      </w:r>
    </w:p>
    <w:p>
      <w:pPr>
        <w:pStyle w:val="Nadpis21"/>
        <w:ind w:left="1070" w:hanging="360"/>
        <w:rPr/>
      </w:pPr>
      <w:bookmarkStart w:id="35" w:name="_Toc71021283"/>
      <w:r>
        <w:rPr/>
        <w:t>8.4. Príprava zamestnancov</w:t>
      </w:r>
      <w:bookmarkEnd w:id="35"/>
    </w:p>
    <w:tbl>
      <w:tblPr>
        <w:tblW w:w="9328" w:type="dxa"/>
        <w:jc w:val="left"/>
        <w:tblInd w:w="-20" w:type="dxa"/>
        <w:tblCellMar>
          <w:top w:w="0" w:type="dxa"/>
          <w:left w:w="108" w:type="dxa"/>
          <w:bottom w:w="0" w:type="dxa"/>
          <w:right w:w="108" w:type="dxa"/>
        </w:tblCellMar>
        <w:tblLook w:val="0000"/>
      </w:tblPr>
      <w:tblGrid>
        <w:gridCol w:w="3747"/>
        <w:gridCol w:w="2455"/>
        <w:gridCol w:w="1666"/>
        <w:gridCol w:w="1459"/>
      </w:tblGrid>
      <w:tr>
        <w:trPr>
          <w:trHeight w:val="525" w:hRule="atLeast"/>
        </w:trPr>
        <w:tc>
          <w:tcPr>
            <w:tcW w:w="3747"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uto" w:line="240" w:before="0" w:after="0"/>
              <w:ind w:left="0" w:hanging="0"/>
              <w:contextualSpacing/>
              <w:rPr>
                <w:rFonts w:ascii="Calibri" w:hAnsi="Calibri"/>
                <w:sz w:val="20"/>
                <w:szCs w:val="20"/>
              </w:rPr>
            </w:pPr>
            <w:r>
              <w:rPr>
                <w:rFonts w:cs="Calibri" w:ascii="Calibri" w:hAnsi="Calibri"/>
                <w:b/>
                <w:bCs/>
                <w:color w:val="000000"/>
                <w:sz w:val="20"/>
                <w:szCs w:val="20"/>
              </w:rPr>
              <w:t>Cieľ</w:t>
            </w:r>
          </w:p>
        </w:tc>
        <w:tc>
          <w:tcPr>
            <w:tcW w:w="2455"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uto" w:line="240" w:before="0" w:after="0"/>
              <w:ind w:left="0" w:hanging="0"/>
              <w:contextualSpacing/>
              <w:rPr>
                <w:rFonts w:ascii="Calibri" w:hAnsi="Calibri"/>
                <w:sz w:val="20"/>
                <w:szCs w:val="20"/>
              </w:rPr>
            </w:pPr>
            <w:r>
              <w:rPr>
                <w:rFonts w:cs="Calibri" w:ascii="Calibri" w:hAnsi="Calibri"/>
                <w:b/>
                <w:bCs/>
                <w:color w:val="000000"/>
                <w:sz w:val="20"/>
                <w:szCs w:val="20"/>
              </w:rPr>
              <w:t>Aktivity</w:t>
            </w:r>
          </w:p>
        </w:tc>
        <w:tc>
          <w:tcPr>
            <w:tcW w:w="1666"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uto" w:line="240" w:before="0" w:after="0"/>
              <w:ind w:left="0" w:hanging="0"/>
              <w:contextualSpacing/>
              <w:rPr>
                <w:rFonts w:ascii="Calibri" w:hAnsi="Calibri"/>
                <w:sz w:val="20"/>
                <w:szCs w:val="20"/>
              </w:rPr>
            </w:pPr>
            <w:r>
              <w:rPr>
                <w:rFonts w:cs="Calibri" w:ascii="Calibri" w:hAnsi="Calibri"/>
                <w:b/>
                <w:bCs/>
                <w:color w:val="000000"/>
                <w:sz w:val="20"/>
                <w:szCs w:val="20"/>
              </w:rPr>
              <w:t>Zodpovedná  osoba</w:t>
            </w:r>
          </w:p>
        </w:tc>
        <w:tc>
          <w:tcPr>
            <w:tcW w:w="1459"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Odstavecseseznamem1"/>
              <w:spacing w:lineRule="auto" w:line="240" w:before="0" w:after="0"/>
              <w:ind w:left="0" w:hanging="0"/>
              <w:contextualSpacing/>
              <w:rPr>
                <w:rFonts w:ascii="Calibri" w:hAnsi="Calibri"/>
                <w:sz w:val="20"/>
                <w:szCs w:val="20"/>
              </w:rPr>
            </w:pPr>
            <w:r>
              <w:rPr>
                <w:rFonts w:cs="Calibri" w:ascii="Calibri" w:hAnsi="Calibri"/>
                <w:b/>
                <w:bCs/>
                <w:color w:val="000000"/>
                <w:sz w:val="20"/>
                <w:szCs w:val="20"/>
              </w:rPr>
              <w:t>Obdobie realizácie</w:t>
            </w:r>
          </w:p>
        </w:tc>
      </w:tr>
      <w:tr>
        <w:trPr>
          <w:trHeight w:val="606" w:hRule="atLeast"/>
        </w:trPr>
        <w:tc>
          <w:tcPr>
            <w:tcW w:w="3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bCs/>
                <w:color w:val="FF0000"/>
                <w:sz w:val="20"/>
                <w:szCs w:val="20"/>
              </w:rPr>
              <w:t>Oboznámenie zamestnancov s Etickým kódexom</w:t>
            </w:r>
          </w:p>
        </w:tc>
        <w:tc>
          <w:tcPr>
            <w:tcW w:w="24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Diskusia a pripomienkovanie Etického kódexu</w:t>
            </w:r>
          </w:p>
        </w:tc>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Riaditeľka</w:t>
            </w:r>
          </w:p>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 xml:space="preserve">Vedúci zamestnanci  </w:t>
            </w:r>
          </w:p>
        </w:tc>
        <w:tc>
          <w:tcPr>
            <w:tcW w:w="1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Január  2019</w:t>
            </w:r>
          </w:p>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trvá</w:t>
            </w:r>
          </w:p>
        </w:tc>
      </w:tr>
      <w:tr>
        <w:trPr>
          <w:trHeight w:val="811" w:hRule="atLeast"/>
        </w:trPr>
        <w:tc>
          <w:tcPr>
            <w:tcW w:w="3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bCs/>
                <w:color w:val="FF0000"/>
                <w:sz w:val="20"/>
                <w:szCs w:val="20"/>
              </w:rPr>
              <w:t>Zabezpečenie  skupinových a individuálnych supervíznych  stretnutí zamestnancom DSS</w:t>
            </w:r>
          </w:p>
        </w:tc>
        <w:tc>
          <w:tcPr>
            <w:tcW w:w="24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 xml:space="preserve">Supervízia </w:t>
            </w:r>
          </w:p>
        </w:tc>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Riaditeľka</w:t>
            </w:r>
          </w:p>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Vedúci prevádzok</w:t>
            </w:r>
          </w:p>
          <w:p>
            <w:pPr>
              <w:pStyle w:val="Odstavecseseznamem1"/>
              <w:spacing w:lineRule="auto" w:line="240" w:before="0" w:after="0"/>
              <w:ind w:left="0" w:hanging="0"/>
              <w:contextualSpacing/>
              <w:rPr>
                <w:rFonts w:ascii="Calibri" w:hAnsi="Calibri" w:cs="Calibri"/>
                <w:color w:val="FF0000"/>
                <w:sz w:val="20"/>
                <w:szCs w:val="20"/>
              </w:rPr>
            </w:pPr>
            <w:r>
              <w:rPr>
                <w:rFonts w:cs="Calibri" w:ascii="Calibri" w:hAnsi="Calibri"/>
                <w:color w:val="FF0000"/>
                <w:sz w:val="20"/>
                <w:szCs w:val="20"/>
              </w:rPr>
            </w:r>
          </w:p>
        </w:tc>
        <w:tc>
          <w:tcPr>
            <w:tcW w:w="1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2019-2023</w:t>
            </w:r>
          </w:p>
        </w:tc>
      </w:tr>
      <w:tr>
        <w:trPr>
          <w:trHeight w:val="796" w:hRule="atLeast"/>
        </w:trPr>
        <w:tc>
          <w:tcPr>
            <w:tcW w:w="3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bCs/>
                <w:color w:val="FF0000"/>
                <w:sz w:val="20"/>
                <w:szCs w:val="20"/>
              </w:rPr>
              <w:t>Vytvorenie  budúcej organizačnej štruktúry</w:t>
            </w:r>
          </w:p>
        </w:tc>
        <w:tc>
          <w:tcPr>
            <w:tcW w:w="24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Naplánovanie nových služieb a personálneho obsadenia</w:t>
            </w:r>
          </w:p>
        </w:tc>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Riaditeľka</w:t>
            </w:r>
          </w:p>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 xml:space="preserve">Vedúci zamestnanci  </w:t>
            </w:r>
          </w:p>
        </w:tc>
        <w:tc>
          <w:tcPr>
            <w:tcW w:w="1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Jún 2019 –</w:t>
            </w:r>
          </w:p>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 xml:space="preserve">február </w:t>
            </w:r>
            <w:r>
              <w:rPr>
                <w:rStyle w:val="Odkaznakoment1"/>
                <w:rFonts w:ascii="Calibri" w:hAnsi="Calibri"/>
                <w:color w:val="FF0000"/>
                <w:sz w:val="20"/>
                <w:szCs w:val="20"/>
              </w:rPr>
              <w:t>20</w:t>
            </w:r>
            <w:r>
              <w:rPr>
                <w:rStyle w:val="Odkaznakoment1"/>
                <w:rFonts w:cs="Calibri" w:ascii="Calibri" w:hAnsi="Calibri"/>
                <w:color w:val="FF0000"/>
                <w:sz w:val="20"/>
                <w:szCs w:val="20"/>
              </w:rPr>
              <w:t>20</w:t>
            </w:r>
          </w:p>
        </w:tc>
      </w:tr>
      <w:tr>
        <w:trPr>
          <w:trHeight w:val="811" w:hRule="atLeast"/>
        </w:trPr>
        <w:tc>
          <w:tcPr>
            <w:tcW w:w="3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bCs/>
                <w:color w:val="FF0000"/>
                <w:sz w:val="20"/>
                <w:szCs w:val="20"/>
              </w:rPr>
              <w:t>Informovanie o budúcej organizačnej  štruktúre</w:t>
            </w:r>
          </w:p>
        </w:tc>
        <w:tc>
          <w:tcPr>
            <w:tcW w:w="24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Oboznámenie zamestnancov s budúcou organizačnou štruktúrou</w:t>
            </w:r>
          </w:p>
        </w:tc>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Riaditeľka</w:t>
            </w:r>
          </w:p>
          <w:p>
            <w:pPr>
              <w:pStyle w:val="Odstavecseseznamem1"/>
              <w:spacing w:lineRule="auto" w:line="240" w:before="0" w:after="0"/>
              <w:ind w:left="0" w:hanging="0"/>
              <w:contextualSpacing/>
              <w:rPr>
                <w:rFonts w:ascii="Calibri" w:hAnsi="Calibri" w:cs="Calibri"/>
                <w:color w:val="FF0000"/>
                <w:sz w:val="20"/>
                <w:szCs w:val="20"/>
              </w:rPr>
            </w:pPr>
            <w:r>
              <w:rPr>
                <w:rFonts w:cs="Calibri" w:ascii="Calibri" w:hAnsi="Calibri"/>
                <w:color w:val="FF0000"/>
                <w:sz w:val="20"/>
                <w:szCs w:val="20"/>
              </w:rPr>
            </w:r>
          </w:p>
        </w:tc>
        <w:tc>
          <w:tcPr>
            <w:tcW w:w="1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Február  2020</w:t>
            </w:r>
          </w:p>
        </w:tc>
      </w:tr>
      <w:tr>
        <w:trPr>
          <w:trHeight w:val="811" w:hRule="atLeast"/>
        </w:trPr>
        <w:tc>
          <w:tcPr>
            <w:tcW w:w="3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bCs/>
                <w:color w:val="FF0000"/>
                <w:sz w:val="20"/>
                <w:szCs w:val="20"/>
              </w:rPr>
              <w:t>Informovanie o transformačnom pláne,  jeho cieľoch a aktivitách</w:t>
            </w:r>
          </w:p>
        </w:tc>
        <w:tc>
          <w:tcPr>
            <w:tcW w:w="24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Oboznámenie zamestnancov s TP</w:t>
            </w:r>
          </w:p>
        </w:tc>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Riaditeľka</w:t>
            </w:r>
          </w:p>
          <w:p>
            <w:pPr>
              <w:pStyle w:val="Odstavecseseznamem1"/>
              <w:spacing w:lineRule="auto" w:line="240" w:before="0" w:after="0"/>
              <w:ind w:left="0" w:hanging="0"/>
              <w:contextualSpacing/>
              <w:rPr>
                <w:rFonts w:ascii="Calibri" w:hAnsi="Calibri" w:cs="Calibri"/>
                <w:color w:val="FF0000"/>
                <w:sz w:val="20"/>
                <w:szCs w:val="20"/>
              </w:rPr>
            </w:pPr>
            <w:r>
              <w:rPr>
                <w:rFonts w:cs="Calibri" w:ascii="Calibri" w:hAnsi="Calibri"/>
                <w:color w:val="FF0000"/>
                <w:sz w:val="20"/>
                <w:szCs w:val="20"/>
              </w:rPr>
            </w:r>
          </w:p>
        </w:tc>
        <w:tc>
          <w:tcPr>
            <w:tcW w:w="1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color w:val="FF0000"/>
                <w:sz w:val="20"/>
                <w:szCs w:val="20"/>
              </w:rPr>
            </w:pPr>
            <w:r>
              <w:rPr>
                <w:rFonts w:cs="Calibri" w:ascii="Calibri" w:hAnsi="Calibri"/>
                <w:color w:val="FF0000"/>
                <w:sz w:val="20"/>
                <w:szCs w:val="20"/>
              </w:rPr>
              <w:t>Január 2019   trvá</w:t>
            </w:r>
          </w:p>
        </w:tc>
      </w:tr>
      <w:tr>
        <w:trPr>
          <w:trHeight w:val="1336" w:hRule="atLeast"/>
        </w:trPr>
        <w:tc>
          <w:tcPr>
            <w:tcW w:w="37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sz w:val="20"/>
                <w:szCs w:val="20"/>
              </w:rPr>
            </w:pPr>
            <w:r>
              <w:rPr>
                <w:rFonts w:cs="Calibri" w:ascii="Calibri" w:hAnsi="Calibri"/>
                <w:bCs/>
                <w:sz w:val="20"/>
                <w:szCs w:val="20"/>
              </w:rPr>
              <w:t>Zabezpečenie, informovanie a umožnenie vzdelávania zamestnancov v súlade s potrebami  nových služieb a potenciálom zamestnancov</w:t>
            </w:r>
          </w:p>
        </w:tc>
        <w:tc>
          <w:tcPr>
            <w:tcW w:w="24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sz w:val="20"/>
                <w:szCs w:val="20"/>
              </w:rPr>
            </w:pPr>
            <w:r>
              <w:rPr>
                <w:rFonts w:cs="Calibri" w:ascii="Calibri" w:hAnsi="Calibri"/>
                <w:sz w:val="20"/>
                <w:szCs w:val="20"/>
              </w:rPr>
              <w:t xml:space="preserve">Vzdelávania </w:t>
            </w:r>
          </w:p>
          <w:p>
            <w:pPr>
              <w:pStyle w:val="Odstavecseseznamem1"/>
              <w:spacing w:lineRule="auto" w:line="240" w:before="0" w:after="0"/>
              <w:ind w:left="0" w:hanging="0"/>
              <w:contextualSpacing/>
              <w:rPr>
                <w:rFonts w:ascii="Calibri" w:hAnsi="Calibri"/>
                <w:sz w:val="20"/>
                <w:szCs w:val="20"/>
              </w:rPr>
            </w:pPr>
            <w:r>
              <w:rPr>
                <w:rFonts w:cs="Calibri" w:ascii="Calibri" w:hAnsi="Calibri"/>
                <w:sz w:val="20"/>
                <w:szCs w:val="20"/>
              </w:rPr>
              <w:t xml:space="preserve">podľa plánu </w:t>
            </w:r>
          </w:p>
          <w:p>
            <w:pPr>
              <w:pStyle w:val="Odstavecseseznamem1"/>
              <w:spacing w:lineRule="auto" w:line="240" w:before="0" w:after="0"/>
              <w:ind w:left="0" w:hanging="0"/>
              <w:contextualSpacing/>
              <w:rPr>
                <w:rFonts w:ascii="Calibri" w:hAnsi="Calibri"/>
                <w:sz w:val="20"/>
                <w:szCs w:val="20"/>
              </w:rPr>
            </w:pPr>
            <w:r>
              <w:rPr>
                <w:rFonts w:cs="Calibri" w:ascii="Calibri" w:hAnsi="Calibri"/>
                <w:sz w:val="20"/>
                <w:szCs w:val="20"/>
              </w:rPr>
              <w:t xml:space="preserve">nových zručností </w:t>
            </w:r>
          </w:p>
          <w:p>
            <w:pPr>
              <w:pStyle w:val="Odstavecseseznamem1"/>
              <w:spacing w:lineRule="auto" w:line="240" w:before="0" w:after="0"/>
              <w:ind w:left="0" w:hanging="0"/>
              <w:contextualSpacing/>
              <w:rPr>
                <w:rFonts w:ascii="Calibri" w:hAnsi="Calibri"/>
                <w:sz w:val="20"/>
                <w:szCs w:val="20"/>
              </w:rPr>
            </w:pPr>
            <w:r>
              <w:rPr>
                <w:rFonts w:cs="Calibri" w:ascii="Calibri" w:hAnsi="Calibri"/>
                <w:sz w:val="20"/>
                <w:szCs w:val="20"/>
              </w:rPr>
              <w:t>a vedomostí</w:t>
            </w:r>
          </w:p>
        </w:tc>
        <w:tc>
          <w:tcPr>
            <w:tcW w:w="16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sz w:val="20"/>
                <w:szCs w:val="20"/>
              </w:rPr>
            </w:pPr>
            <w:r>
              <w:rPr>
                <w:rFonts w:cs="Calibri" w:ascii="Calibri" w:hAnsi="Calibri"/>
                <w:sz w:val="20"/>
                <w:szCs w:val="20"/>
              </w:rPr>
              <w:t>Riaditeľka</w:t>
            </w:r>
          </w:p>
          <w:p>
            <w:pPr>
              <w:pStyle w:val="Odstavecseseznamem1"/>
              <w:spacing w:lineRule="auto" w:line="240" w:before="0" w:after="0"/>
              <w:ind w:left="0" w:hanging="0"/>
              <w:contextualSpacing/>
              <w:rPr>
                <w:rFonts w:ascii="Calibri" w:hAnsi="Calibri"/>
                <w:sz w:val="20"/>
                <w:szCs w:val="20"/>
              </w:rPr>
            </w:pPr>
            <w:r>
              <w:rPr>
                <w:rFonts w:cs="Calibri" w:ascii="Calibri" w:hAnsi="Calibri"/>
                <w:sz w:val="20"/>
                <w:szCs w:val="20"/>
              </w:rPr>
              <w:t>Vedúci úsekov</w:t>
            </w:r>
          </w:p>
        </w:tc>
        <w:tc>
          <w:tcPr>
            <w:tcW w:w="14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dstavecseseznamem1"/>
              <w:spacing w:lineRule="auto" w:line="240" w:before="0" w:after="0"/>
              <w:ind w:left="0" w:hanging="0"/>
              <w:contextualSpacing/>
              <w:rPr>
                <w:rFonts w:ascii="Calibri" w:hAnsi="Calibri"/>
                <w:sz w:val="20"/>
                <w:szCs w:val="20"/>
              </w:rPr>
            </w:pPr>
            <w:r>
              <w:rPr>
                <w:rFonts w:cs="Calibri" w:ascii="Calibri" w:hAnsi="Calibri"/>
                <w:sz w:val="20"/>
                <w:szCs w:val="20"/>
              </w:rPr>
              <w:t>Priebežne</w:t>
            </w:r>
          </w:p>
          <w:p>
            <w:pPr>
              <w:pStyle w:val="Odstavecseseznamem1"/>
              <w:spacing w:lineRule="auto" w:line="240" w:before="0" w:after="0"/>
              <w:ind w:left="0" w:hanging="0"/>
              <w:contextualSpacing/>
              <w:rPr>
                <w:rFonts w:ascii="Calibri" w:hAnsi="Calibri" w:cs="Calibri"/>
                <w:sz w:val="20"/>
                <w:szCs w:val="20"/>
              </w:rPr>
            </w:pPr>
            <w:r>
              <w:rPr>
                <w:rFonts w:cs="Calibri" w:ascii="Calibri" w:hAnsi="Calibri"/>
                <w:sz w:val="20"/>
                <w:szCs w:val="20"/>
              </w:rPr>
            </w:r>
          </w:p>
        </w:tc>
      </w:tr>
    </w:tbl>
    <w:p>
      <w:pPr>
        <w:pStyle w:val="Normal"/>
        <w:spacing w:lineRule="atLeast" w:line="22" w:before="0" w:after="200"/>
        <w:contextualSpacing/>
        <w:rPr>
          <w:sz w:val="22"/>
        </w:rPr>
      </w:pPr>
      <w:r>
        <w:rPr>
          <w:sz w:val="22"/>
        </w:rPr>
        <w:t>Tabuľka 14 Aktivity príprava zamestnancov</w:t>
      </w:r>
    </w:p>
    <w:p>
      <w:pPr>
        <w:pStyle w:val="Normal"/>
        <w:spacing w:lineRule="atLeast" w:line="22" w:before="0" w:after="200"/>
        <w:contextualSpacing/>
        <w:rPr>
          <w:sz w:val="22"/>
        </w:rPr>
      </w:pPr>
      <w:r>
        <w:rPr>
          <w:sz w:val="22"/>
        </w:rPr>
        <w:t>Legenda- červeným sú označené už zrealizované aktivity</w:t>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ormal"/>
        <w:spacing w:lineRule="atLeast" w:line="22" w:before="0" w:after="200"/>
        <w:contextualSpacing/>
        <w:rPr>
          <w:sz w:val="22"/>
        </w:rPr>
      </w:pPr>
      <w:r>
        <w:rPr>
          <w:sz w:val="22"/>
        </w:rPr>
      </w:r>
    </w:p>
    <w:p>
      <w:pPr>
        <w:pStyle w:val="Nadpis21"/>
        <w:ind w:left="1070" w:hanging="360"/>
        <w:rPr/>
      </w:pPr>
      <w:bookmarkStart w:id="36" w:name="_Toc71021284"/>
      <w:r>
        <w:rPr/>
        <w:t>8.5. Príprava rodinných príslušníkov</w:t>
      </w:r>
      <w:bookmarkEnd w:id="36"/>
    </w:p>
    <w:tbl>
      <w:tblPr>
        <w:tblW w:w="9338" w:type="dxa"/>
        <w:jc w:val="left"/>
        <w:tblInd w:w="-20" w:type="dxa"/>
        <w:tblCellMar>
          <w:top w:w="0" w:type="dxa"/>
          <w:left w:w="108" w:type="dxa"/>
          <w:bottom w:w="0" w:type="dxa"/>
          <w:right w:w="108" w:type="dxa"/>
        </w:tblCellMar>
        <w:tblLook w:val="0000"/>
      </w:tblPr>
      <w:tblGrid>
        <w:gridCol w:w="3723"/>
        <w:gridCol w:w="2256"/>
        <w:gridCol w:w="1670"/>
        <w:gridCol w:w="1688"/>
      </w:tblGrid>
      <w:tr>
        <w:trPr>
          <w:trHeight w:val="440" w:hRule="atLeast"/>
        </w:trPr>
        <w:tc>
          <w:tcPr>
            <w:tcW w:w="3723"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sz w:val="20"/>
                <w:szCs w:val="20"/>
              </w:rPr>
            </w:pPr>
            <w:r>
              <w:rPr>
                <w:rFonts w:cs="Calibri" w:ascii="Calibri" w:hAnsi="Calibri"/>
                <w:b/>
                <w:sz w:val="20"/>
                <w:szCs w:val="20"/>
              </w:rPr>
              <w:t>Cieľ</w:t>
            </w:r>
          </w:p>
        </w:tc>
        <w:tc>
          <w:tcPr>
            <w:tcW w:w="2256"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sz w:val="20"/>
                <w:szCs w:val="20"/>
              </w:rPr>
            </w:pPr>
            <w:r>
              <w:rPr>
                <w:rFonts w:cs="Calibri" w:ascii="Calibri" w:hAnsi="Calibri"/>
                <w:b/>
                <w:sz w:val="20"/>
                <w:szCs w:val="20"/>
              </w:rPr>
              <w:t>Aktivity</w:t>
            </w:r>
          </w:p>
        </w:tc>
        <w:tc>
          <w:tcPr>
            <w:tcW w:w="1670"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sz w:val="20"/>
                <w:szCs w:val="20"/>
              </w:rPr>
            </w:pPr>
            <w:r>
              <w:rPr>
                <w:rFonts w:cs="Calibri" w:ascii="Calibri" w:hAnsi="Calibri"/>
                <w:b/>
                <w:sz w:val="20"/>
                <w:szCs w:val="20"/>
              </w:rPr>
              <w:t>Zodpovedné osoby</w:t>
            </w:r>
          </w:p>
        </w:tc>
        <w:tc>
          <w:tcPr>
            <w:tcW w:w="1688"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b/>
                <w:b/>
                <w:sz w:val="20"/>
                <w:szCs w:val="20"/>
              </w:rPr>
            </w:pPr>
            <w:r>
              <w:rPr>
                <w:rFonts w:cs="Calibri" w:ascii="Calibri" w:hAnsi="Calibri"/>
                <w:b/>
                <w:sz w:val="20"/>
                <w:szCs w:val="20"/>
              </w:rPr>
              <w:t>Obdobie realizácie</w:t>
            </w:r>
          </w:p>
        </w:tc>
      </w:tr>
      <w:tr>
        <w:trPr>
          <w:trHeight w:val="494" w:hRule="atLeast"/>
        </w:trPr>
        <w:tc>
          <w:tcPr>
            <w:tcW w:w="37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Bezmezer1"/>
              <w:rPr>
                <w:sz w:val="20"/>
                <w:szCs w:val="20"/>
              </w:rPr>
            </w:pPr>
            <w:r>
              <w:rPr>
                <w:rFonts w:cs="Calibri" w:ascii="Calibri" w:hAnsi="Calibri"/>
                <w:bCs/>
                <w:sz w:val="20"/>
                <w:szCs w:val="20"/>
              </w:rPr>
              <w:t>stotožnenie sa  rodinných príslušníkov -úspešnosť realizácie TP</w:t>
            </w:r>
          </w:p>
        </w:tc>
        <w:tc>
          <w:tcPr>
            <w:tcW w:w="2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Bezmezer1"/>
              <w:rPr>
                <w:sz w:val="20"/>
                <w:szCs w:val="20"/>
              </w:rPr>
            </w:pPr>
            <w:r>
              <w:rPr>
                <w:rFonts w:cs="Calibri" w:ascii="Calibri" w:hAnsi="Calibri"/>
                <w:sz w:val="20"/>
                <w:szCs w:val="20"/>
              </w:rPr>
              <w:t>Oboznámenie s TP</w:t>
            </w:r>
          </w:p>
          <w:p>
            <w:pPr>
              <w:pStyle w:val="Bezmezer1"/>
              <w:rPr>
                <w:rFonts w:ascii="Calibri" w:hAnsi="Calibri" w:cs="Calibri"/>
                <w:sz w:val="20"/>
                <w:szCs w:val="20"/>
              </w:rPr>
            </w:pPr>
            <w:r>
              <w:rPr>
                <w:rFonts w:cs="Calibri" w:ascii="Calibri" w:hAnsi="Calibri"/>
                <w:sz w:val="20"/>
                <w:szCs w:val="20"/>
              </w:rPr>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Bezmezer1"/>
              <w:rPr>
                <w:sz w:val="20"/>
                <w:szCs w:val="20"/>
              </w:rPr>
            </w:pPr>
            <w:r>
              <w:rPr>
                <w:rFonts w:cs="Calibri" w:ascii="Calibri" w:hAnsi="Calibri"/>
                <w:sz w:val="20"/>
                <w:szCs w:val="20"/>
              </w:rPr>
              <w:t xml:space="preserve">riaditeľka </w:t>
            </w:r>
          </w:p>
          <w:p>
            <w:pPr>
              <w:pStyle w:val="Bezmezer1"/>
              <w:rPr>
                <w:sz w:val="20"/>
                <w:szCs w:val="20"/>
              </w:rPr>
            </w:pPr>
            <w:r>
              <w:rPr>
                <w:rFonts w:cs="Calibri" w:ascii="Calibri" w:hAnsi="Calibri"/>
                <w:sz w:val="20"/>
                <w:szCs w:val="20"/>
              </w:rPr>
              <w:t>vedúci úsekov</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Bezmezer1"/>
              <w:rPr>
                <w:sz w:val="20"/>
                <w:szCs w:val="20"/>
              </w:rPr>
            </w:pPr>
            <w:r>
              <w:rPr>
                <w:rFonts w:cs="Calibri" w:ascii="Calibri" w:hAnsi="Calibri"/>
                <w:sz w:val="20"/>
                <w:szCs w:val="20"/>
              </w:rPr>
              <w:t>priebežne</w:t>
            </w:r>
          </w:p>
        </w:tc>
      </w:tr>
      <w:tr>
        <w:trPr>
          <w:trHeight w:val="865" w:hRule="atLeast"/>
        </w:trPr>
        <w:tc>
          <w:tcPr>
            <w:tcW w:w="37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Bezmezer1"/>
              <w:rPr>
                <w:sz w:val="20"/>
                <w:szCs w:val="20"/>
              </w:rPr>
            </w:pPr>
            <w:r>
              <w:rPr>
                <w:rFonts w:cs="Calibri" w:ascii="Calibri" w:hAnsi="Calibri"/>
                <w:bCs/>
                <w:sz w:val="20"/>
                <w:szCs w:val="20"/>
              </w:rPr>
              <w:t xml:space="preserve">aktívne zapojenie  rodinných príslušníkov do podporných skupín pri tvorbe IP vychádzajúc z plánov a predstáv z TP   </w:t>
            </w:r>
          </w:p>
        </w:tc>
        <w:tc>
          <w:tcPr>
            <w:tcW w:w="22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Bezmezer1"/>
              <w:rPr>
                <w:sz w:val="20"/>
                <w:szCs w:val="20"/>
              </w:rPr>
            </w:pPr>
            <w:r>
              <w:rPr>
                <w:rFonts w:cs="Calibri" w:ascii="Calibri" w:hAnsi="Calibri"/>
                <w:sz w:val="20"/>
                <w:szCs w:val="20"/>
              </w:rPr>
              <w:t>Individuálne stretnutia k TP a podporné skupiny k IP</w:t>
            </w:r>
          </w:p>
        </w:tc>
        <w:tc>
          <w:tcPr>
            <w:tcW w:w="16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Bezmezer1"/>
              <w:rPr>
                <w:sz w:val="20"/>
                <w:szCs w:val="20"/>
              </w:rPr>
            </w:pPr>
            <w:r>
              <w:rPr>
                <w:rFonts w:cs="Calibri" w:ascii="Calibri" w:hAnsi="Calibri"/>
                <w:sz w:val="20"/>
                <w:szCs w:val="20"/>
              </w:rPr>
              <w:t>vedúci prevádzok</w:t>
            </w:r>
          </w:p>
          <w:p>
            <w:pPr>
              <w:pStyle w:val="Bezmezer1"/>
              <w:rPr>
                <w:sz w:val="20"/>
                <w:szCs w:val="20"/>
              </w:rPr>
            </w:pPr>
            <w:r>
              <w:rPr>
                <w:rFonts w:cs="Calibri" w:ascii="Calibri" w:hAnsi="Calibri"/>
                <w:sz w:val="20"/>
                <w:szCs w:val="20"/>
              </w:rPr>
              <w:t>koordinátori IP</w:t>
            </w:r>
          </w:p>
          <w:p>
            <w:pPr>
              <w:pStyle w:val="Bezmezer1"/>
              <w:rPr>
                <w:sz w:val="20"/>
                <w:szCs w:val="20"/>
              </w:rPr>
            </w:pPr>
            <w:r>
              <w:rPr>
                <w:rFonts w:cs="Calibri" w:ascii="Calibri" w:hAnsi="Calibri"/>
                <w:sz w:val="20"/>
                <w:szCs w:val="20"/>
              </w:rPr>
              <w:t>kľúčoví zamestnanci</w:t>
            </w:r>
          </w:p>
        </w:tc>
        <w:tc>
          <w:tcPr>
            <w:tcW w:w="16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Bezmezer1"/>
              <w:rPr>
                <w:sz w:val="20"/>
                <w:szCs w:val="20"/>
              </w:rPr>
            </w:pPr>
            <w:r>
              <w:rPr>
                <w:rFonts w:cs="Calibri" w:ascii="Calibri" w:hAnsi="Calibri"/>
                <w:sz w:val="20"/>
                <w:szCs w:val="20"/>
              </w:rPr>
              <w:t>priebežne</w:t>
            </w:r>
          </w:p>
        </w:tc>
      </w:tr>
    </w:tbl>
    <w:p>
      <w:pPr>
        <w:pStyle w:val="Normal"/>
        <w:spacing w:lineRule="atLeast" w:line="22" w:before="0" w:after="200"/>
        <w:contextualSpacing/>
        <w:rPr>
          <w:sz w:val="22"/>
        </w:rPr>
      </w:pPr>
      <w:r>
        <w:rPr>
          <w:sz w:val="22"/>
        </w:rPr>
        <w:t>Tabuľka 15 Aktivity príprava rodinných príslušníkov</w:t>
      </w:r>
    </w:p>
    <w:p>
      <w:pPr>
        <w:pStyle w:val="Normal"/>
        <w:spacing w:lineRule="atLeast" w:line="22" w:before="0" w:after="200"/>
        <w:contextualSpacing/>
        <w:rPr>
          <w:sz w:val="22"/>
        </w:rPr>
      </w:pPr>
      <w:r>
        <w:rPr>
          <w:sz w:val="22"/>
        </w:rPr>
        <w:t>Legenda- červeným sú označené už zrealizované aktivity</w:t>
      </w:r>
    </w:p>
    <w:p>
      <w:pPr>
        <w:pStyle w:val="Normal"/>
        <w:spacing w:lineRule="atLeast" w:line="22" w:before="0" w:after="200"/>
        <w:contextualSpacing/>
        <w:rPr>
          <w:rFonts w:ascii="Calibri" w:hAnsi="Calibri" w:cs="Calibri"/>
          <w:sz w:val="22"/>
        </w:rPr>
      </w:pPr>
      <w:r>
        <w:rPr>
          <w:rFonts w:cs="Calibri" w:ascii="Calibri" w:hAnsi="Calibri"/>
          <w:sz w:val="22"/>
        </w:rPr>
      </w:r>
    </w:p>
    <w:p>
      <w:pPr>
        <w:pStyle w:val="Nadpis21"/>
        <w:ind w:left="1070" w:hanging="360"/>
        <w:rPr/>
      </w:pPr>
      <w:bookmarkStart w:id="37" w:name="_Toc71021285"/>
      <w:r>
        <w:rPr/>
        <w:t>8.6. Príprava komunity</w:t>
      </w:r>
      <w:bookmarkEnd w:id="37"/>
    </w:p>
    <w:tbl>
      <w:tblPr>
        <w:tblW w:w="9351" w:type="dxa"/>
        <w:jc w:val="left"/>
        <w:tblInd w:w="-20" w:type="dxa"/>
        <w:tblCellMar>
          <w:top w:w="0" w:type="dxa"/>
          <w:left w:w="108" w:type="dxa"/>
          <w:bottom w:w="0" w:type="dxa"/>
          <w:right w:w="108" w:type="dxa"/>
        </w:tblCellMar>
        <w:tblLook w:val="0000"/>
      </w:tblPr>
      <w:tblGrid>
        <w:gridCol w:w="2251"/>
        <w:gridCol w:w="2856"/>
        <w:gridCol w:w="2053"/>
        <w:gridCol w:w="2190"/>
      </w:tblGrid>
      <w:tr>
        <w:trPr>
          <w:trHeight w:val="260" w:hRule="atLeast"/>
        </w:trPr>
        <w:tc>
          <w:tcPr>
            <w:tcW w:w="2251" w:type="dxa"/>
            <w:tcBorders>
              <w:top w:val="single" w:sz="4" w:space="0" w:color="000000"/>
              <w:left w:val="single" w:sz="4" w:space="0" w:color="000000"/>
              <w:bottom w:val="single" w:sz="4" w:space="0" w:color="000000"/>
              <w:right w:val="single" w:sz="4" w:space="0" w:color="000000"/>
            </w:tcBorders>
            <w:shd w:color="auto" w:fill="A1E7FD" w:val="clear"/>
          </w:tcPr>
          <w:p>
            <w:pPr>
              <w:pStyle w:val="Obsahtabuky"/>
              <w:rPr>
                <w:sz w:val="20"/>
                <w:szCs w:val="20"/>
              </w:rPr>
            </w:pPr>
            <w:r>
              <w:rPr>
                <w:rFonts w:cs="Calibri" w:ascii="Calibri" w:hAnsi="Calibri"/>
                <w:b/>
                <w:bCs/>
                <w:color w:val="000000"/>
                <w:sz w:val="20"/>
                <w:szCs w:val="20"/>
              </w:rPr>
              <w:t>Aktivita</w:t>
            </w:r>
          </w:p>
        </w:tc>
        <w:tc>
          <w:tcPr>
            <w:tcW w:w="2856" w:type="dxa"/>
            <w:tcBorders>
              <w:top w:val="single" w:sz="4" w:space="0" w:color="000000"/>
              <w:left w:val="single" w:sz="4" w:space="0" w:color="000000"/>
              <w:bottom w:val="single" w:sz="4" w:space="0" w:color="000000"/>
              <w:right w:val="single" w:sz="4" w:space="0" w:color="000000"/>
            </w:tcBorders>
            <w:shd w:color="auto" w:fill="A1E7FD" w:val="clear"/>
          </w:tcPr>
          <w:p>
            <w:pPr>
              <w:pStyle w:val="Obsahtabuky"/>
              <w:rPr>
                <w:sz w:val="20"/>
                <w:szCs w:val="20"/>
              </w:rPr>
            </w:pPr>
            <w:r>
              <w:rPr>
                <w:rFonts w:cs="Calibri" w:ascii="Calibri" w:hAnsi="Calibri"/>
                <w:b/>
                <w:bCs/>
                <w:color w:val="000000"/>
                <w:sz w:val="20"/>
                <w:szCs w:val="20"/>
              </w:rPr>
              <w:t>Cieľ</w:t>
            </w:r>
          </w:p>
        </w:tc>
        <w:tc>
          <w:tcPr>
            <w:tcW w:w="2053" w:type="dxa"/>
            <w:tcBorders>
              <w:top w:val="single" w:sz="4" w:space="0" w:color="000000"/>
              <w:left w:val="single" w:sz="4" w:space="0" w:color="000000"/>
              <w:bottom w:val="single" w:sz="4" w:space="0" w:color="000000"/>
              <w:right w:val="single" w:sz="4" w:space="0" w:color="000000"/>
            </w:tcBorders>
            <w:shd w:color="auto" w:fill="A1E7FD" w:val="clear"/>
          </w:tcPr>
          <w:p>
            <w:pPr>
              <w:pStyle w:val="Obsahtabuky"/>
              <w:rPr>
                <w:sz w:val="20"/>
                <w:szCs w:val="20"/>
              </w:rPr>
            </w:pPr>
            <w:r>
              <w:rPr>
                <w:rFonts w:cs="Calibri" w:ascii="Calibri" w:hAnsi="Calibri"/>
                <w:b/>
                <w:bCs/>
                <w:color w:val="000000"/>
                <w:sz w:val="20"/>
                <w:szCs w:val="20"/>
              </w:rPr>
              <w:t>Zodpovedné osoby</w:t>
            </w:r>
          </w:p>
        </w:tc>
        <w:tc>
          <w:tcPr>
            <w:tcW w:w="2190" w:type="dxa"/>
            <w:tcBorders>
              <w:top w:val="single" w:sz="4" w:space="0" w:color="000000"/>
              <w:left w:val="single" w:sz="4" w:space="0" w:color="000000"/>
              <w:bottom w:val="single" w:sz="4" w:space="0" w:color="000000"/>
              <w:right w:val="single" w:sz="4" w:space="0" w:color="000000"/>
            </w:tcBorders>
            <w:shd w:color="auto" w:fill="A1E7FD" w:val="clear"/>
          </w:tcPr>
          <w:p>
            <w:pPr>
              <w:pStyle w:val="Obsahtabuky"/>
              <w:rPr>
                <w:sz w:val="20"/>
                <w:szCs w:val="20"/>
              </w:rPr>
            </w:pPr>
            <w:r>
              <w:rPr>
                <w:rFonts w:cs="Calibri" w:ascii="Calibri" w:hAnsi="Calibri"/>
                <w:b/>
                <w:bCs/>
                <w:color w:val="000000"/>
                <w:sz w:val="20"/>
                <w:szCs w:val="20"/>
              </w:rPr>
              <w:t>Obdobie realizácie</w:t>
            </w:r>
          </w:p>
        </w:tc>
      </w:tr>
      <w:tr>
        <w:trPr>
          <w:trHeight w:val="522" w:hRule="atLeast"/>
        </w:trPr>
        <w:tc>
          <w:tcPr>
            <w:tcW w:w="22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color w:val="FF0000"/>
                <w:sz w:val="20"/>
                <w:szCs w:val="20"/>
              </w:rPr>
            </w:pPr>
            <w:r>
              <w:rPr>
                <w:rFonts w:cs="Calibri" w:ascii="Calibri" w:hAnsi="Calibri"/>
                <w:bCs/>
                <w:color w:val="FF0000"/>
                <w:sz w:val="20"/>
                <w:szCs w:val="20"/>
              </w:rPr>
              <w:t>Info o TP , web, soc. siete, médiá</w:t>
            </w:r>
          </w:p>
        </w:tc>
        <w:tc>
          <w:tcPr>
            <w:tcW w:w="2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color w:val="FF0000"/>
                <w:sz w:val="20"/>
                <w:szCs w:val="20"/>
              </w:rPr>
            </w:pPr>
            <w:r>
              <w:rPr>
                <w:rFonts w:cs="Calibri" w:ascii="Calibri" w:hAnsi="Calibri"/>
                <w:color w:val="FF0000"/>
                <w:sz w:val="20"/>
                <w:szCs w:val="20"/>
              </w:rPr>
              <w:t>Informovanosť o TP</w:t>
            </w:r>
          </w:p>
        </w:tc>
        <w:tc>
          <w:tcPr>
            <w:tcW w:w="20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color w:val="FF0000"/>
                <w:sz w:val="20"/>
                <w:szCs w:val="20"/>
              </w:rPr>
            </w:pPr>
            <w:r>
              <w:rPr>
                <w:rFonts w:cs="Calibri" w:ascii="Calibri" w:hAnsi="Calibri"/>
                <w:color w:val="FF0000"/>
                <w:sz w:val="20"/>
                <w:szCs w:val="20"/>
              </w:rPr>
              <w:t>Manažment DSS,OZ NÁDEJ, správca web- stránky</w:t>
            </w:r>
          </w:p>
        </w:tc>
        <w:tc>
          <w:tcPr>
            <w:tcW w:w="2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color w:val="FF0000"/>
                <w:sz w:val="20"/>
                <w:szCs w:val="20"/>
              </w:rPr>
            </w:pPr>
            <w:r>
              <w:rPr>
                <w:rFonts w:cs="Calibri" w:ascii="Calibri" w:hAnsi="Calibri"/>
                <w:color w:val="FF0000"/>
                <w:sz w:val="20"/>
                <w:szCs w:val="20"/>
              </w:rPr>
              <w:t>Počas celej realizácie TP</w:t>
            </w:r>
          </w:p>
        </w:tc>
      </w:tr>
      <w:tr>
        <w:trPr>
          <w:trHeight w:val="1290" w:hRule="atLeast"/>
        </w:trPr>
        <w:tc>
          <w:tcPr>
            <w:tcW w:w="22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sz w:val="20"/>
                <w:szCs w:val="20"/>
              </w:rPr>
            </w:pPr>
            <w:r>
              <w:rPr>
                <w:rFonts w:cs="Calibri" w:ascii="Calibri" w:hAnsi="Calibri"/>
                <w:bCs/>
                <w:sz w:val="20"/>
                <w:szCs w:val="20"/>
              </w:rPr>
              <w:t>Dni dobrovoľníctva</w:t>
            </w:r>
          </w:p>
        </w:tc>
        <w:tc>
          <w:tcPr>
            <w:tcW w:w="2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sz w:val="20"/>
                <w:szCs w:val="20"/>
              </w:rPr>
            </w:pPr>
            <w:r>
              <w:rPr>
                <w:rFonts w:cs="Calibri" w:ascii="Calibri" w:hAnsi="Calibri"/>
                <w:sz w:val="20"/>
                <w:szCs w:val="20"/>
              </w:rPr>
              <w:t>Osloviť študentov stredných škôl k aktívnej spolupráci pri začlenení ľudí so zdravotným znevýhodnením do širšej komunity.</w:t>
            </w:r>
          </w:p>
        </w:tc>
        <w:tc>
          <w:tcPr>
            <w:tcW w:w="20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sz w:val="20"/>
                <w:szCs w:val="20"/>
              </w:rPr>
            </w:pPr>
            <w:r>
              <w:rPr>
                <w:rFonts w:cs="Calibri" w:ascii="Calibri" w:hAnsi="Calibri"/>
                <w:sz w:val="20"/>
                <w:szCs w:val="20"/>
              </w:rPr>
              <w:t>OZ NÁDEJ, infocentrum dobrovoľníctva</w:t>
            </w:r>
          </w:p>
        </w:tc>
        <w:tc>
          <w:tcPr>
            <w:tcW w:w="2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sz w:val="20"/>
                <w:szCs w:val="20"/>
              </w:rPr>
            </w:pPr>
            <w:r>
              <w:rPr>
                <w:rFonts w:cs="Calibri" w:ascii="Calibri" w:hAnsi="Calibri"/>
                <w:sz w:val="20"/>
                <w:szCs w:val="20"/>
              </w:rPr>
              <w:t>Počas celej realizácie projektu</w:t>
            </w:r>
          </w:p>
        </w:tc>
      </w:tr>
      <w:tr>
        <w:trPr>
          <w:trHeight w:val="1301" w:hRule="atLeast"/>
        </w:trPr>
        <w:tc>
          <w:tcPr>
            <w:tcW w:w="22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color w:val="FF0000"/>
                <w:sz w:val="20"/>
                <w:szCs w:val="20"/>
              </w:rPr>
            </w:pPr>
            <w:r>
              <w:rPr>
                <w:rFonts w:cs="Calibri" w:ascii="Calibri" w:hAnsi="Calibri"/>
                <w:bCs/>
                <w:color w:val="FF0000"/>
                <w:sz w:val="20"/>
                <w:szCs w:val="20"/>
              </w:rPr>
              <w:t>Verejná diskusia k TP</w:t>
            </w:r>
          </w:p>
        </w:tc>
        <w:tc>
          <w:tcPr>
            <w:tcW w:w="28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color w:val="FF0000"/>
                <w:sz w:val="20"/>
                <w:szCs w:val="20"/>
              </w:rPr>
            </w:pPr>
            <w:r>
              <w:rPr>
                <w:rFonts w:cs="Calibri" w:ascii="Calibri" w:hAnsi="Calibri"/>
                <w:color w:val="FF0000"/>
                <w:sz w:val="20"/>
                <w:szCs w:val="20"/>
              </w:rPr>
              <w:t>Scitlivovanie spoločnosti, informovanosť a stotožnenie sa s myšlienkou nevyhnutnosti  komunitných sociálnych služieb.</w:t>
            </w:r>
          </w:p>
        </w:tc>
        <w:tc>
          <w:tcPr>
            <w:tcW w:w="20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color w:val="FF0000"/>
                <w:sz w:val="20"/>
                <w:szCs w:val="20"/>
              </w:rPr>
            </w:pPr>
            <w:r>
              <w:rPr>
                <w:rFonts w:cs="Calibri" w:ascii="Calibri" w:hAnsi="Calibri"/>
                <w:color w:val="FF0000"/>
                <w:sz w:val="20"/>
                <w:szCs w:val="20"/>
              </w:rPr>
              <w:t>Manažment, partnerské organizácie</w:t>
            </w:r>
          </w:p>
          <w:p>
            <w:pPr>
              <w:pStyle w:val="Obsahtabuky"/>
              <w:rPr>
                <w:rFonts w:ascii="Calibri" w:hAnsi="Calibri" w:cs="Calibri"/>
                <w:color w:val="FF0000"/>
                <w:sz w:val="20"/>
                <w:szCs w:val="20"/>
              </w:rPr>
            </w:pPr>
            <w:r>
              <w:rPr>
                <w:rFonts w:cs="Calibri" w:ascii="Calibri" w:hAnsi="Calibri"/>
                <w:color w:val="FF0000"/>
                <w:sz w:val="20"/>
                <w:szCs w:val="20"/>
              </w:rPr>
            </w:r>
          </w:p>
        </w:tc>
        <w:tc>
          <w:tcPr>
            <w:tcW w:w="21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Obsahtabuky"/>
              <w:rPr>
                <w:color w:val="FF0000"/>
                <w:sz w:val="20"/>
                <w:szCs w:val="20"/>
              </w:rPr>
            </w:pPr>
            <w:r>
              <w:rPr>
                <w:rFonts w:cs="Calibri" w:ascii="Calibri" w:hAnsi="Calibri"/>
                <w:color w:val="FF0000"/>
                <w:sz w:val="20"/>
                <w:szCs w:val="20"/>
              </w:rPr>
              <w:t>Počas prípravnej fázy</w:t>
            </w:r>
          </w:p>
        </w:tc>
      </w:tr>
    </w:tbl>
    <w:p>
      <w:pPr>
        <w:pStyle w:val="Normal"/>
        <w:spacing w:lineRule="atLeast" w:line="22" w:before="0" w:after="200"/>
        <w:ind w:hanging="142"/>
        <w:contextualSpacing/>
        <w:rPr>
          <w:sz w:val="22"/>
        </w:rPr>
      </w:pPr>
      <w:r>
        <w:rPr>
          <w:sz w:val="22"/>
        </w:rPr>
        <w:t>Tabuľka 16 Aktivity príprava prijímateľov sociálnej služby</w:t>
      </w:r>
    </w:p>
    <w:p>
      <w:pPr>
        <w:pStyle w:val="Normal"/>
        <w:spacing w:lineRule="atLeast" w:line="22" w:before="0" w:after="200"/>
        <w:ind w:left="-142" w:hanging="0"/>
        <w:contextualSpacing/>
        <w:rPr>
          <w:sz w:val="22"/>
        </w:rPr>
      </w:pPr>
      <w:r>
        <w:rPr>
          <w:sz w:val="22"/>
        </w:rPr>
        <w:t>Legenda- červeným sú označené už zrealizované aktivity</w:t>
      </w:r>
    </w:p>
    <w:p>
      <w:pPr>
        <w:pStyle w:val="Normal"/>
        <w:spacing w:lineRule="atLeast" w:line="22" w:before="0" w:after="200"/>
        <w:contextualSpacing/>
        <w:jc w:val="center"/>
        <w:rPr>
          <w:rFonts w:ascii="Calibri" w:hAnsi="Calibri" w:cs="Calibri"/>
          <w:sz w:val="22"/>
          <w:lang w:eastAsia="sk-SK"/>
        </w:rPr>
      </w:pPr>
      <w:r>
        <w:rPr>
          <w:rFonts w:cs="Calibri" w:ascii="Calibri" w:hAnsi="Calibri"/>
          <w:sz w:val="22"/>
          <w:lang w:eastAsia="sk-SK"/>
        </w:rPr>
      </w:r>
    </w:p>
    <w:p>
      <w:pPr>
        <w:pStyle w:val="Normal"/>
        <w:spacing w:lineRule="atLeast" w:line="22" w:before="0" w:after="200"/>
        <w:contextualSpacing/>
        <w:jc w:val="center"/>
        <w:rPr>
          <w:rFonts w:ascii="Calibri" w:hAnsi="Calibri" w:cs="Calibri"/>
          <w:sz w:val="22"/>
          <w:lang w:eastAsia="sk-SK"/>
        </w:rPr>
      </w:pPr>
      <w:r>
        <w:rPr>
          <w:rFonts w:cs="Calibri" w:ascii="Calibri" w:hAnsi="Calibri"/>
          <w:sz w:val="22"/>
          <w:lang w:eastAsia="sk-SK"/>
        </w:rPr>
      </w:r>
    </w:p>
    <w:p>
      <w:pPr>
        <w:pStyle w:val="Normal"/>
        <w:spacing w:lineRule="atLeast" w:line="22" w:before="0" w:after="200"/>
        <w:contextualSpacing/>
        <w:jc w:val="both"/>
        <w:rPr>
          <w:rFonts w:cs="Calibri"/>
          <w:b/>
          <w:b/>
          <w:bCs/>
          <w:sz w:val="22"/>
          <w:lang w:eastAsia="sk-SK"/>
        </w:rPr>
      </w:pPr>
      <w:r>
        <w:rPr>
          <w:rFonts w:cs="Calibri"/>
          <w:b/>
          <w:bCs/>
          <w:sz w:val="22"/>
          <w:lang w:eastAsia="sk-SK"/>
        </w:rPr>
        <w:t>Počas a po  transformácii  / v prechodnej a stabilizačnej fáze / budeme riešiť množstvo nových úloh  :</w:t>
      </w:r>
    </w:p>
    <w:p>
      <w:pPr>
        <w:pStyle w:val="Normal"/>
        <w:spacing w:lineRule="atLeast" w:line="22" w:before="0" w:after="200"/>
        <w:contextualSpacing/>
        <w:jc w:val="both"/>
        <w:rPr>
          <w:rFonts w:cs="Calibri"/>
          <w:b/>
          <w:b/>
          <w:bCs/>
          <w:sz w:val="22"/>
          <w:lang w:eastAsia="sk-SK"/>
        </w:rPr>
      </w:pPr>
      <w:r>
        <w:rPr>
          <w:rFonts w:cs="Calibri"/>
          <w:b/>
          <w:bCs/>
          <w:sz w:val="22"/>
          <w:lang w:eastAsia="sk-SK"/>
        </w:rPr>
      </w:r>
    </w:p>
    <w:p>
      <w:pPr>
        <w:pStyle w:val="Normal"/>
        <w:spacing w:lineRule="atLeast" w:line="22" w:before="0" w:after="200"/>
        <w:contextualSpacing/>
        <w:jc w:val="both"/>
        <w:rPr>
          <w:rFonts w:cs="Calibri"/>
          <w:b/>
          <w:b/>
          <w:bCs/>
          <w:sz w:val="22"/>
          <w:lang w:eastAsia="sk-SK"/>
        </w:rPr>
      </w:pPr>
      <w:r>
        <w:rPr>
          <w:rFonts w:cs="Calibri"/>
          <w:b/>
          <w:bCs/>
          <w:sz w:val="22"/>
          <w:lang w:eastAsia="sk-SK"/>
        </w:rPr>
        <w:t>smerom ku klientom  / 2018- 2023- /:</w:t>
      </w:r>
    </w:p>
    <w:p>
      <w:pPr>
        <w:pStyle w:val="Normal"/>
        <w:numPr>
          <w:ilvl w:val="0"/>
          <w:numId w:val="34"/>
        </w:numPr>
        <w:spacing w:lineRule="atLeast" w:line="22" w:before="0" w:after="200"/>
        <w:contextualSpacing/>
        <w:jc w:val="both"/>
        <w:rPr>
          <w:rFonts w:cs="Calibri"/>
          <w:sz w:val="22"/>
          <w:lang w:eastAsia="sk-SK"/>
        </w:rPr>
      </w:pPr>
      <w:r>
        <w:rPr>
          <w:rFonts w:cs="Calibri"/>
          <w:sz w:val="22"/>
          <w:lang w:eastAsia="sk-SK"/>
        </w:rPr>
        <w:t>adaptácia PSS na nové prostredie,</w:t>
      </w:r>
    </w:p>
    <w:p>
      <w:pPr>
        <w:pStyle w:val="Normal"/>
        <w:numPr>
          <w:ilvl w:val="0"/>
          <w:numId w:val="34"/>
        </w:numPr>
        <w:spacing w:lineRule="atLeast" w:line="22" w:before="0" w:after="200"/>
        <w:contextualSpacing/>
        <w:jc w:val="both"/>
        <w:rPr>
          <w:rFonts w:cs="Calibri"/>
          <w:sz w:val="22"/>
          <w:lang w:eastAsia="sk-SK"/>
        </w:rPr>
      </w:pPr>
      <w:r>
        <w:rPr>
          <w:rFonts w:cs="Calibri"/>
          <w:sz w:val="22"/>
          <w:lang w:eastAsia="sk-SK"/>
        </w:rPr>
        <w:t>adaptácia PSS na nové poskytovanie sociálnej služby,</w:t>
      </w:r>
    </w:p>
    <w:p>
      <w:pPr>
        <w:pStyle w:val="Normal"/>
        <w:numPr>
          <w:ilvl w:val="0"/>
          <w:numId w:val="34"/>
        </w:numPr>
        <w:spacing w:lineRule="atLeast" w:line="22" w:before="0" w:after="200"/>
        <w:contextualSpacing/>
        <w:jc w:val="both"/>
        <w:rPr>
          <w:rFonts w:cs="Calibri"/>
          <w:sz w:val="22"/>
          <w:lang w:eastAsia="sk-SK"/>
        </w:rPr>
      </w:pPr>
      <w:r>
        <w:rPr>
          <w:rFonts w:cs="Calibri"/>
          <w:sz w:val="22"/>
          <w:lang w:eastAsia="sk-SK"/>
        </w:rPr>
        <w:t>adaptácia PSS na nové povinnosti,</w:t>
      </w:r>
    </w:p>
    <w:p>
      <w:pPr>
        <w:pStyle w:val="Normal"/>
        <w:numPr>
          <w:ilvl w:val="0"/>
          <w:numId w:val="34"/>
        </w:numPr>
        <w:spacing w:lineRule="atLeast" w:line="22" w:before="0" w:after="200"/>
        <w:contextualSpacing/>
        <w:jc w:val="both"/>
        <w:rPr>
          <w:rFonts w:cs="Calibri"/>
          <w:sz w:val="22"/>
          <w:lang w:eastAsia="sk-SK"/>
        </w:rPr>
      </w:pPr>
      <w:r>
        <w:rPr>
          <w:rFonts w:cs="Calibri"/>
          <w:sz w:val="22"/>
          <w:lang w:eastAsia="sk-SK"/>
        </w:rPr>
        <w:t>samorozhodovanie PSS, preberanie zodpovednosti za svoje rozhodnutie,</w:t>
      </w:r>
    </w:p>
    <w:p>
      <w:pPr>
        <w:pStyle w:val="Normal"/>
        <w:numPr>
          <w:ilvl w:val="0"/>
          <w:numId w:val="34"/>
        </w:numPr>
        <w:spacing w:lineRule="atLeast" w:line="22" w:before="0" w:after="200"/>
        <w:contextualSpacing/>
        <w:jc w:val="both"/>
        <w:rPr>
          <w:rFonts w:cs="Calibri"/>
          <w:sz w:val="22"/>
          <w:lang w:eastAsia="sk-SK"/>
        </w:rPr>
      </w:pPr>
      <w:r>
        <w:rPr>
          <w:rFonts w:cs="Calibri"/>
          <w:sz w:val="22"/>
          <w:lang w:eastAsia="sk-SK"/>
        </w:rPr>
        <w:t>zmena  trvalého / prechodného bydliska,</w:t>
      </w:r>
    </w:p>
    <w:p>
      <w:pPr>
        <w:pStyle w:val="Normal"/>
        <w:numPr>
          <w:ilvl w:val="0"/>
          <w:numId w:val="34"/>
        </w:numPr>
        <w:spacing w:lineRule="atLeast" w:line="22" w:before="0" w:after="200"/>
        <w:contextualSpacing/>
        <w:jc w:val="both"/>
        <w:rPr>
          <w:rFonts w:cs="Calibri"/>
          <w:sz w:val="22"/>
          <w:lang w:eastAsia="sk-SK"/>
        </w:rPr>
      </w:pPr>
      <w:r>
        <w:rPr>
          <w:rFonts w:cs="Calibri"/>
          <w:sz w:val="22"/>
          <w:lang w:eastAsia="sk-SK"/>
        </w:rPr>
        <w:t>zmena v dokladoch- OP / miesto bydliska,</w:t>
      </w:r>
    </w:p>
    <w:p>
      <w:pPr>
        <w:pStyle w:val="Normal"/>
        <w:numPr>
          <w:ilvl w:val="0"/>
          <w:numId w:val="34"/>
        </w:numPr>
        <w:spacing w:lineRule="atLeast" w:line="22" w:before="0" w:after="200"/>
        <w:contextualSpacing/>
        <w:jc w:val="both"/>
        <w:rPr>
          <w:rFonts w:cs="Calibri"/>
          <w:sz w:val="22"/>
          <w:lang w:eastAsia="sk-SK"/>
        </w:rPr>
      </w:pPr>
      <w:r>
        <w:rPr>
          <w:rFonts w:cs="Calibri"/>
          <w:sz w:val="22"/>
          <w:lang w:eastAsia="sk-SK"/>
        </w:rPr>
        <w:t>zmena v pracovných zmluvách / adresa /,</w:t>
      </w:r>
    </w:p>
    <w:p>
      <w:pPr>
        <w:pStyle w:val="Normal"/>
        <w:numPr>
          <w:ilvl w:val="0"/>
          <w:numId w:val="34"/>
        </w:numPr>
        <w:spacing w:lineRule="atLeast" w:line="22" w:before="0" w:after="200"/>
        <w:contextualSpacing/>
        <w:jc w:val="both"/>
        <w:rPr>
          <w:rFonts w:cs="Calibri"/>
          <w:sz w:val="22"/>
          <w:lang w:eastAsia="sk-SK"/>
        </w:rPr>
      </w:pPr>
      <w:r>
        <w:rPr>
          <w:rFonts w:cs="Calibri"/>
          <w:sz w:val="22"/>
          <w:lang w:eastAsia="sk-SK"/>
        </w:rPr>
        <w:t>opatrovníctvo /prinavrátenie spôsobilosti na právne úkony, rozhodovanie o výške použiteľných finančných prostriedkov, osamostatnenie sa klienta-podporované bývanie a p. /,</w:t>
      </w:r>
    </w:p>
    <w:p>
      <w:pPr>
        <w:pStyle w:val="Normal"/>
        <w:numPr>
          <w:ilvl w:val="0"/>
          <w:numId w:val="34"/>
        </w:numPr>
        <w:spacing w:lineRule="atLeast" w:line="22" w:before="0" w:after="200"/>
        <w:contextualSpacing/>
        <w:jc w:val="both"/>
        <w:rPr>
          <w:rFonts w:cs="Calibri"/>
          <w:sz w:val="22"/>
          <w:lang w:eastAsia="sk-SK"/>
        </w:rPr>
      </w:pPr>
      <w:r>
        <w:rPr>
          <w:rFonts w:cs="Calibri"/>
          <w:sz w:val="22"/>
          <w:lang w:eastAsia="sk-SK"/>
        </w:rPr>
        <w:t>aktívne vyhľadávanie príležitostí na uplatnenie sa  na pracovnom trhu / úloha stála /</w:t>
      </w:r>
    </w:p>
    <w:p>
      <w:pPr>
        <w:pStyle w:val="Normal"/>
        <w:spacing w:lineRule="atLeast" w:line="22" w:before="0" w:after="200"/>
        <w:contextualSpacing/>
        <w:jc w:val="both"/>
        <w:rPr>
          <w:rFonts w:cs="Calibri"/>
          <w:sz w:val="22"/>
          <w:lang w:eastAsia="sk-SK"/>
        </w:rPr>
      </w:pPr>
      <w:r>
        <w:rPr>
          <w:rFonts w:cs="Calibri"/>
          <w:sz w:val="22"/>
          <w:lang w:eastAsia="sk-SK"/>
        </w:rPr>
      </w:r>
    </w:p>
    <w:p>
      <w:pPr>
        <w:pStyle w:val="Normal"/>
        <w:spacing w:lineRule="atLeast" w:line="22" w:before="0" w:after="200"/>
        <w:contextualSpacing/>
        <w:jc w:val="both"/>
        <w:rPr>
          <w:rFonts w:cs="Calibri"/>
          <w:b/>
          <w:b/>
          <w:bCs/>
          <w:sz w:val="22"/>
          <w:lang w:eastAsia="sk-SK"/>
        </w:rPr>
      </w:pPr>
      <w:r>
        <w:rPr>
          <w:rFonts w:cs="Calibri"/>
          <w:b/>
          <w:bCs/>
          <w:sz w:val="22"/>
          <w:lang w:eastAsia="sk-SK"/>
        </w:rPr>
        <w:t>smerom k zamestnancom  / 2022-2023 - /:</w:t>
      </w:r>
    </w:p>
    <w:p>
      <w:pPr>
        <w:pStyle w:val="Normal"/>
        <w:numPr>
          <w:ilvl w:val="0"/>
          <w:numId w:val="35"/>
        </w:numPr>
        <w:spacing w:lineRule="atLeast" w:line="22" w:before="0" w:after="200"/>
        <w:contextualSpacing/>
        <w:jc w:val="both"/>
        <w:rPr>
          <w:rFonts w:cs="Calibri"/>
          <w:sz w:val="22"/>
          <w:lang w:eastAsia="sk-SK"/>
        </w:rPr>
      </w:pPr>
      <w:r>
        <w:rPr>
          <w:rFonts w:cs="Calibri"/>
          <w:sz w:val="22"/>
          <w:lang w:eastAsia="sk-SK"/>
        </w:rPr>
        <w:t>zmeny v pracovných činnostiach,</w:t>
      </w:r>
    </w:p>
    <w:p>
      <w:pPr>
        <w:pStyle w:val="Normal"/>
        <w:numPr>
          <w:ilvl w:val="0"/>
          <w:numId w:val="35"/>
        </w:numPr>
        <w:spacing w:lineRule="atLeast" w:line="22" w:before="0" w:after="200"/>
        <w:contextualSpacing/>
        <w:jc w:val="both"/>
        <w:rPr>
          <w:rFonts w:cs="Calibri"/>
          <w:sz w:val="22"/>
          <w:lang w:eastAsia="sk-SK"/>
        </w:rPr>
      </w:pPr>
      <w:r>
        <w:rPr>
          <w:rFonts w:cs="Calibri"/>
          <w:sz w:val="22"/>
          <w:lang w:eastAsia="sk-SK"/>
        </w:rPr>
        <w:t>zmena adresy výkonu práce v pracovných zmluvách,</w:t>
      </w:r>
    </w:p>
    <w:p>
      <w:pPr>
        <w:pStyle w:val="Normal"/>
        <w:numPr>
          <w:ilvl w:val="0"/>
          <w:numId w:val="35"/>
        </w:numPr>
        <w:spacing w:lineRule="atLeast" w:line="22" w:before="0" w:after="200"/>
        <w:contextualSpacing/>
        <w:jc w:val="both"/>
        <w:rPr>
          <w:rFonts w:cs="Calibri"/>
          <w:sz w:val="22"/>
          <w:lang w:eastAsia="sk-SK"/>
        </w:rPr>
      </w:pPr>
      <w:r>
        <w:rPr>
          <w:rFonts w:cs="Calibri"/>
          <w:sz w:val="22"/>
          <w:lang w:eastAsia="sk-SK"/>
        </w:rPr>
        <w:t>zmena zaradenia  zamestnancov / pracovné pozície po rekvalifikácii /,</w:t>
      </w:r>
    </w:p>
    <w:p>
      <w:pPr>
        <w:pStyle w:val="Normal"/>
        <w:numPr>
          <w:ilvl w:val="0"/>
          <w:numId w:val="35"/>
        </w:numPr>
        <w:spacing w:lineRule="atLeast" w:line="22" w:before="0" w:after="200"/>
        <w:contextualSpacing/>
        <w:jc w:val="both"/>
        <w:rPr>
          <w:rFonts w:cs="Calibri"/>
          <w:sz w:val="22"/>
          <w:lang w:eastAsia="sk-SK"/>
        </w:rPr>
      </w:pPr>
      <w:r>
        <w:rPr>
          <w:rFonts w:cs="Calibri"/>
          <w:sz w:val="22"/>
          <w:lang w:eastAsia="sk-SK"/>
        </w:rPr>
        <w:t>BOZP, CO školenie zamestnancov,</w:t>
      </w:r>
    </w:p>
    <w:p>
      <w:pPr>
        <w:pStyle w:val="Normal"/>
        <w:spacing w:lineRule="atLeast" w:line="22" w:before="0" w:after="200"/>
        <w:ind w:left="720" w:hanging="0"/>
        <w:contextualSpacing/>
        <w:jc w:val="both"/>
        <w:rPr>
          <w:rFonts w:cs="Calibri"/>
          <w:sz w:val="22"/>
          <w:lang w:eastAsia="sk-SK"/>
        </w:rPr>
      </w:pPr>
      <w:r>
        <w:rPr>
          <w:rFonts w:cs="Calibri"/>
          <w:sz w:val="22"/>
          <w:lang w:eastAsia="sk-SK"/>
        </w:rPr>
      </w:r>
    </w:p>
    <w:p>
      <w:pPr>
        <w:pStyle w:val="Normal"/>
        <w:spacing w:lineRule="atLeast" w:line="22" w:before="0" w:after="200"/>
        <w:ind w:left="720" w:hanging="0"/>
        <w:contextualSpacing/>
        <w:jc w:val="both"/>
        <w:rPr>
          <w:rFonts w:cs="Calibri"/>
          <w:sz w:val="22"/>
          <w:lang w:eastAsia="sk-SK"/>
        </w:rPr>
      </w:pPr>
      <w:r>
        <w:rPr>
          <w:rFonts w:cs="Calibri"/>
          <w:sz w:val="22"/>
          <w:lang w:eastAsia="sk-SK"/>
        </w:rPr>
      </w:r>
    </w:p>
    <w:p>
      <w:pPr>
        <w:pStyle w:val="Normal"/>
        <w:spacing w:lineRule="atLeast" w:line="22" w:before="0" w:after="200"/>
        <w:contextualSpacing/>
        <w:jc w:val="both"/>
        <w:rPr>
          <w:rFonts w:cs="Calibri"/>
          <w:sz w:val="22"/>
          <w:lang w:eastAsia="sk-SK"/>
        </w:rPr>
      </w:pPr>
      <w:r>
        <w:rPr>
          <w:rFonts w:cs="Calibri"/>
          <w:sz w:val="22"/>
          <w:lang w:eastAsia="sk-SK"/>
        </w:rPr>
      </w:r>
    </w:p>
    <w:p>
      <w:pPr>
        <w:pStyle w:val="Normal"/>
        <w:spacing w:lineRule="atLeast" w:line="22" w:before="0" w:after="200"/>
        <w:contextualSpacing/>
        <w:jc w:val="both"/>
        <w:rPr>
          <w:rFonts w:cs="Calibri"/>
          <w:sz w:val="22"/>
          <w:lang w:eastAsia="sk-SK"/>
        </w:rPr>
      </w:pPr>
      <w:r>
        <w:rPr>
          <w:rFonts w:cs="Calibri"/>
          <w:sz w:val="22"/>
          <w:lang w:eastAsia="sk-SK"/>
        </w:rPr>
      </w:r>
    </w:p>
    <w:p>
      <w:pPr>
        <w:pStyle w:val="Normal"/>
        <w:spacing w:lineRule="atLeast" w:line="22" w:before="0" w:after="200"/>
        <w:contextualSpacing/>
        <w:jc w:val="both"/>
        <w:rPr>
          <w:rFonts w:cs="Calibri"/>
          <w:b/>
          <w:b/>
          <w:bCs/>
          <w:sz w:val="22"/>
          <w:lang w:eastAsia="sk-SK"/>
        </w:rPr>
      </w:pPr>
      <w:r>
        <w:rPr>
          <w:rFonts w:cs="Calibri"/>
          <w:b/>
          <w:bCs/>
          <w:sz w:val="22"/>
          <w:lang w:eastAsia="sk-SK"/>
        </w:rPr>
        <w:t>smerom k organizácii  / 2023 -/:</w:t>
      </w:r>
    </w:p>
    <w:p>
      <w:pPr>
        <w:pStyle w:val="Normal"/>
        <w:numPr>
          <w:ilvl w:val="0"/>
          <w:numId w:val="36"/>
        </w:numPr>
        <w:spacing w:lineRule="atLeast" w:line="22" w:before="0" w:after="200"/>
        <w:contextualSpacing/>
        <w:jc w:val="both"/>
        <w:rPr>
          <w:rFonts w:cs="Calibri"/>
          <w:sz w:val="22"/>
          <w:lang w:eastAsia="sk-SK"/>
        </w:rPr>
      </w:pPr>
      <w:r>
        <w:rPr>
          <w:rFonts w:cs="Calibri"/>
          <w:sz w:val="22"/>
          <w:lang w:eastAsia="sk-SK"/>
        </w:rPr>
        <w:t>prevádzkové poriadky pre všetky nové objekty,</w:t>
      </w:r>
    </w:p>
    <w:p>
      <w:pPr>
        <w:pStyle w:val="Normal"/>
        <w:numPr>
          <w:ilvl w:val="0"/>
          <w:numId w:val="36"/>
        </w:numPr>
        <w:spacing w:lineRule="atLeast" w:line="22" w:before="0" w:after="200"/>
        <w:contextualSpacing/>
        <w:jc w:val="both"/>
        <w:rPr>
          <w:rFonts w:cs="Calibri"/>
          <w:sz w:val="22"/>
          <w:lang w:eastAsia="sk-SK"/>
        </w:rPr>
      </w:pPr>
      <w:r>
        <w:rPr>
          <w:rFonts w:cs="Calibri"/>
          <w:sz w:val="22"/>
          <w:lang w:eastAsia="sk-SK"/>
        </w:rPr>
        <w:t>registrácia nových poskytovaných sociálnych služieb,</w:t>
      </w:r>
    </w:p>
    <w:p>
      <w:pPr>
        <w:pStyle w:val="Normal"/>
        <w:numPr>
          <w:ilvl w:val="0"/>
          <w:numId w:val="36"/>
        </w:numPr>
        <w:spacing w:lineRule="atLeast" w:line="22" w:before="0" w:after="200"/>
        <w:contextualSpacing/>
        <w:jc w:val="both"/>
        <w:rPr>
          <w:rFonts w:cs="Calibri"/>
          <w:sz w:val="22"/>
          <w:lang w:eastAsia="sk-SK"/>
        </w:rPr>
      </w:pPr>
      <w:r>
        <w:rPr>
          <w:rFonts w:cs="Calibri"/>
          <w:sz w:val="22"/>
          <w:lang w:eastAsia="sk-SK"/>
        </w:rPr>
        <w:t>zmeny organizačného poriadku,</w:t>
      </w:r>
    </w:p>
    <w:p>
      <w:pPr>
        <w:pStyle w:val="Normal"/>
        <w:numPr>
          <w:ilvl w:val="0"/>
          <w:numId w:val="36"/>
        </w:numPr>
        <w:spacing w:lineRule="atLeast" w:line="22" w:before="0" w:after="200"/>
        <w:contextualSpacing/>
        <w:jc w:val="both"/>
        <w:rPr>
          <w:rFonts w:cs="Calibri"/>
          <w:sz w:val="22"/>
          <w:lang w:eastAsia="sk-SK"/>
        </w:rPr>
      </w:pPr>
      <w:r>
        <w:rPr>
          <w:rFonts w:cs="Calibri"/>
          <w:sz w:val="22"/>
          <w:lang w:eastAsia="sk-SK"/>
        </w:rPr>
        <w:t>zmena pracovného poriadku,</w:t>
      </w:r>
    </w:p>
    <w:p>
      <w:pPr>
        <w:pStyle w:val="Normal"/>
        <w:numPr>
          <w:ilvl w:val="0"/>
          <w:numId w:val="36"/>
        </w:numPr>
        <w:spacing w:lineRule="atLeast" w:line="22" w:before="0" w:after="200"/>
        <w:contextualSpacing/>
        <w:jc w:val="both"/>
        <w:rPr>
          <w:rFonts w:cs="Calibri"/>
          <w:sz w:val="22"/>
          <w:lang w:eastAsia="sk-SK"/>
        </w:rPr>
      </w:pPr>
      <w:r>
        <w:rPr>
          <w:rFonts w:cs="Calibri"/>
          <w:sz w:val="22"/>
          <w:lang w:eastAsia="sk-SK"/>
        </w:rPr>
        <w:t>zmena domáceho poriadku,</w:t>
      </w:r>
    </w:p>
    <w:p>
      <w:pPr>
        <w:pStyle w:val="Normal"/>
        <w:numPr>
          <w:ilvl w:val="0"/>
          <w:numId w:val="36"/>
        </w:numPr>
        <w:spacing w:lineRule="atLeast" w:line="22" w:before="0" w:after="200"/>
        <w:contextualSpacing/>
        <w:jc w:val="both"/>
        <w:rPr>
          <w:rFonts w:cs="Calibri"/>
          <w:sz w:val="22"/>
          <w:lang w:eastAsia="sk-SK"/>
        </w:rPr>
      </w:pPr>
      <w:r>
        <w:rPr>
          <w:rFonts w:cs="Calibri"/>
          <w:sz w:val="22"/>
          <w:lang w:eastAsia="sk-SK"/>
        </w:rPr>
        <w:t>zmeny týkajúce sa interných smerníc súvisiacich s poskytovaním sociálnych služieb.</w:t>
      </w:r>
    </w:p>
    <w:p>
      <w:pPr>
        <w:pStyle w:val="Nadpis11"/>
        <w:spacing w:before="240" w:after="240"/>
        <w:contextualSpacing/>
        <w:rPr/>
      </w:pPr>
      <w:bookmarkStart w:id="38" w:name="_Toc71021286"/>
      <w:r>
        <w:rPr>
          <w:rStyle w:val="Odkazintenzivn1"/>
          <w:b/>
          <w:bCs w:val="false"/>
          <w:caps w:val="false"/>
          <w:smallCaps w:val="false"/>
          <w:color w:val="2F5496"/>
          <w:spacing w:val="0"/>
        </w:rPr>
        <w:t>9. FINANČNÁ ANALÝZA</w:t>
      </w:r>
      <w:bookmarkEnd w:id="38"/>
    </w:p>
    <w:p>
      <w:pPr>
        <w:pStyle w:val="Normal"/>
        <w:spacing w:before="0" w:after="0"/>
        <w:jc w:val="both"/>
        <w:rPr>
          <w:sz w:val="22"/>
        </w:rPr>
      </w:pPr>
      <w:r>
        <w:rPr>
          <w:sz w:val="22"/>
        </w:rPr>
        <w:t>Transformačný plán sa realizuje v troch etapách. Každá etapa je špecifická a vyžaduje si inú výšku finančných zdrojov na zabezpečenie systému transformujúcich sa sociálnych služieb.</w:t>
      </w:r>
    </w:p>
    <w:p>
      <w:pPr>
        <w:pStyle w:val="Normal"/>
        <w:spacing w:before="0" w:after="0"/>
        <w:jc w:val="both"/>
        <w:rPr/>
      </w:pPr>
      <w:r>
        <w:rPr/>
      </w:r>
    </w:p>
    <w:p>
      <w:pPr>
        <w:pStyle w:val="Odstavecseseznamem1"/>
        <w:numPr>
          <w:ilvl w:val="0"/>
          <w:numId w:val="1"/>
        </w:numPr>
        <w:spacing w:before="0" w:after="0"/>
        <w:contextualSpacing/>
        <w:jc w:val="both"/>
        <w:rPr/>
      </w:pPr>
      <w:r>
        <w:rPr>
          <w:b/>
          <w:sz w:val="22"/>
        </w:rPr>
        <w:t>Etapa prípravná (2018 – 2021)</w:t>
      </w:r>
    </w:p>
    <w:p>
      <w:pPr>
        <w:pStyle w:val="Normal"/>
        <w:spacing w:before="0" w:after="0"/>
        <w:ind w:left="426" w:hanging="0"/>
        <w:jc w:val="both"/>
        <w:rPr/>
      </w:pPr>
      <w:r>
        <w:rPr>
          <w:sz w:val="22"/>
        </w:rPr>
        <w:t>V prípravnej etape bol pripravený transformačný plán a Žiadosť o nenávratný finančný príspevok z IROP / podaná dňa 27.02.2020 /, vrátane projektovej dokumentácie / december 2019 /a stavebného povolenia – 4 stavebné objekty / január, február, marec 2020 /na plánovanú výstavbu a rekonštrukciu objektov nových sociálnych služieb komunitného typu. V tejto fáze v zariadení prebiehali vzdelávacie aktivity pre zamestnancov  / CEDA, SÚPZ, RPSP / .</w:t>
      </w:r>
    </w:p>
    <w:p>
      <w:pPr>
        <w:pStyle w:val="Odstavecseseznamem1"/>
        <w:spacing w:before="0" w:after="0"/>
        <w:ind w:left="1440" w:hanging="0"/>
        <w:contextualSpacing/>
        <w:jc w:val="both"/>
        <w:rPr>
          <w:sz w:val="22"/>
        </w:rPr>
      </w:pPr>
      <w:r>
        <w:rPr>
          <w:sz w:val="22"/>
        </w:rPr>
      </w:r>
    </w:p>
    <w:p>
      <w:pPr>
        <w:pStyle w:val="Odstavecseseznamem1"/>
        <w:numPr>
          <w:ilvl w:val="0"/>
          <w:numId w:val="1"/>
        </w:numPr>
        <w:rPr>
          <w:b/>
          <w:b/>
          <w:bCs/>
          <w:sz w:val="22"/>
        </w:rPr>
      </w:pPr>
      <w:r>
        <w:rPr>
          <w:b/>
          <w:bCs/>
          <w:sz w:val="22"/>
        </w:rPr>
        <w:t>Etapa prechodná (2021 – 2023)</w:t>
      </w:r>
    </w:p>
    <w:p>
      <w:pPr>
        <w:pStyle w:val="Normal"/>
        <w:spacing w:before="0" w:after="0"/>
        <w:ind w:left="360" w:hanging="0"/>
        <w:jc w:val="both"/>
        <w:rPr/>
      </w:pPr>
      <w:r>
        <w:rPr>
          <w:sz w:val="22"/>
        </w:rPr>
        <w:t>V prechodnej etape má zariadenie zvýšené náklady najmä na:</w:t>
      </w:r>
    </w:p>
    <w:p>
      <w:pPr>
        <w:pStyle w:val="Odstavecseseznamem1"/>
        <w:numPr>
          <w:ilvl w:val="0"/>
          <w:numId w:val="7"/>
        </w:numPr>
        <w:spacing w:before="0" w:after="0"/>
        <w:contextualSpacing/>
        <w:jc w:val="both"/>
        <w:rPr/>
      </w:pPr>
      <w:r>
        <w:rPr>
          <w:b/>
          <w:sz w:val="22"/>
        </w:rPr>
        <w:t>Personálne zdroje</w:t>
      </w:r>
      <w:r>
        <w:rPr>
          <w:sz w:val="22"/>
        </w:rPr>
        <w:t xml:space="preserve"> v súvislosti s prípravou a realizáciou investičného projektu (projektový manažér, finančný manažér  a odborník na VO). Tieto náklady budú hradené z projektových finančných zdrojov ako nepriame náklady na projekt, tzn. že nezaťažia rozpočet BBSK</w:t>
      </w:r>
    </w:p>
    <w:p>
      <w:pPr>
        <w:pStyle w:val="Odstavecseseznamem1"/>
        <w:numPr>
          <w:ilvl w:val="0"/>
          <w:numId w:val="7"/>
        </w:numPr>
        <w:spacing w:before="0" w:after="0"/>
        <w:contextualSpacing/>
        <w:jc w:val="both"/>
        <w:rPr/>
      </w:pPr>
      <w:r>
        <w:rPr>
          <w:b/>
          <w:sz w:val="22"/>
        </w:rPr>
        <w:t xml:space="preserve">Personálne zdroje súvisiace so zabezpečením služieb na viacerých miestach </w:t>
      </w:r>
      <w:r>
        <w:rPr>
          <w:sz w:val="22"/>
        </w:rPr>
        <w:t>– zvýšenie počtu zamestnancov oproti súčasnej organizačnej štruktúre o 13 zamestnancov (zvýšená potreba na personál v tréningovom bývaní v  samostatných domácnostiach, Centre denných služieb).</w:t>
      </w:r>
    </w:p>
    <w:p>
      <w:pPr>
        <w:pStyle w:val="Odstavecseseznamem1"/>
        <w:numPr>
          <w:ilvl w:val="0"/>
          <w:numId w:val="7"/>
        </w:numPr>
        <w:spacing w:before="0" w:after="0"/>
        <w:contextualSpacing/>
        <w:jc w:val="both"/>
        <w:rPr/>
      </w:pPr>
      <w:r>
        <w:rPr>
          <w:b/>
          <w:sz w:val="22"/>
        </w:rPr>
        <w:t>Prevádzkové náklady</w:t>
      </w:r>
      <w:r>
        <w:rPr>
          <w:sz w:val="22"/>
        </w:rPr>
        <w:t xml:space="preserve"> súvisiace s:</w:t>
      </w:r>
    </w:p>
    <w:p>
      <w:pPr>
        <w:pStyle w:val="Odstavecseseznamem1"/>
        <w:numPr>
          <w:ilvl w:val="0"/>
          <w:numId w:val="2"/>
        </w:numPr>
        <w:spacing w:before="0" w:after="0"/>
        <w:contextualSpacing/>
        <w:jc w:val="both"/>
        <w:rPr/>
      </w:pPr>
      <w:r>
        <w:rPr>
          <w:b/>
          <w:sz w:val="22"/>
        </w:rPr>
        <w:t>Realizáciou investičného projektu</w:t>
      </w:r>
      <w:r>
        <w:rPr>
          <w:sz w:val="22"/>
        </w:rPr>
        <w:t xml:space="preserve"> – VO, poplatky v rámci správneho konania, kolky, a pod.</w:t>
      </w:r>
    </w:p>
    <w:p>
      <w:pPr>
        <w:pStyle w:val="Odstavecseseznamem1"/>
        <w:numPr>
          <w:ilvl w:val="0"/>
          <w:numId w:val="2"/>
        </w:numPr>
        <w:spacing w:before="0" w:after="0"/>
        <w:contextualSpacing/>
        <w:jc w:val="both"/>
        <w:rPr/>
      </w:pPr>
      <w:r>
        <w:rPr>
          <w:b/>
          <w:sz w:val="22"/>
        </w:rPr>
        <w:t xml:space="preserve">Zvyšovaním kvality sociálnych služieb, medializáciou a publicitou Transformačného plánu DSS </w:t>
      </w:r>
      <w:r>
        <w:rPr>
          <w:sz w:val="22"/>
        </w:rPr>
        <w:t xml:space="preserve"> –  pri zapojení organizácie do Národného projektu MPSVR SR: „Príprava procesu deinštitucionalizácie a transformácie systému sociálnych služieb“ budú náklady na vzdelávanie, supervíziu, medializáciu a publicitu vo veľkej miere hradené z Národného projektu a rozpočet BBSK zaťažia len minimálne</w:t>
      </w:r>
    </w:p>
    <w:p>
      <w:pPr>
        <w:pStyle w:val="Odstavecseseznamem1"/>
        <w:numPr>
          <w:ilvl w:val="0"/>
          <w:numId w:val="2"/>
        </w:numPr>
        <w:spacing w:before="0" w:after="0"/>
        <w:contextualSpacing/>
        <w:jc w:val="both"/>
        <w:rPr/>
      </w:pPr>
      <w:r>
        <w:rPr>
          <w:b/>
          <w:sz w:val="22"/>
        </w:rPr>
        <w:t>Zabezpečením prevádzky nových služieb</w:t>
      </w:r>
      <w:r>
        <w:rPr>
          <w:sz w:val="22"/>
        </w:rPr>
        <w:t xml:space="preserve"> – spotrebný materiál v denných službách, zvýšené PHM a náklady na autoprevádzku pri nových  sociálnych službách, zvýšené náklady na čistiace prostriedky, revízie a pod. Keďže zariadenie už aj v súčasnosti poskytuje sociálne služby vo viacerých objektoch, ale v jednom areáli, pôjde o  zvýšenie prevádzkových nákladov v dvoch nových budovách.</w:t>
      </w:r>
    </w:p>
    <w:p>
      <w:pPr>
        <w:pStyle w:val="Odstavecseseznamem1"/>
        <w:spacing w:before="0" w:after="0"/>
        <w:ind w:left="1800" w:hanging="0"/>
        <w:contextualSpacing/>
        <w:jc w:val="both"/>
        <w:rPr>
          <w:sz w:val="22"/>
        </w:rPr>
      </w:pPr>
      <w:r>
        <w:rPr>
          <w:sz w:val="22"/>
        </w:rPr>
      </w:r>
    </w:p>
    <w:p>
      <w:pPr>
        <w:pStyle w:val="Odstavecseseznamem1"/>
        <w:numPr>
          <w:ilvl w:val="0"/>
          <w:numId w:val="1"/>
        </w:numPr>
        <w:spacing w:before="0" w:after="0"/>
        <w:contextualSpacing/>
        <w:jc w:val="both"/>
        <w:rPr/>
      </w:pPr>
      <w:r>
        <w:rPr>
          <w:b/>
          <w:sz w:val="22"/>
        </w:rPr>
        <w:t>Etapa stabilizačná (2023- 2025)</w:t>
      </w:r>
    </w:p>
    <w:p>
      <w:pPr>
        <w:pStyle w:val="Odstavecseseznamem1"/>
        <w:spacing w:before="0" w:after="0"/>
        <w:ind w:left="426" w:hanging="0"/>
        <w:contextualSpacing/>
        <w:jc w:val="both"/>
        <w:rPr/>
      </w:pPr>
      <w:r>
        <w:rPr>
          <w:sz w:val="22"/>
        </w:rPr>
        <w:t>V stabilizačnej etape sa vykoná analýza finančných zdrojov a nastaví sa rozpočet zariadenia na ďalšie roky  podľa aktuálnych potrieb prijímateľov, počtu prijímateľov a potrieb jednotlivých prevádzok zariadenia.</w:t>
      </w:r>
    </w:p>
    <w:p>
      <w:pPr>
        <w:pStyle w:val="Nadpis21"/>
        <w:spacing w:before="240" w:after="0"/>
        <w:ind w:left="851" w:hanging="0"/>
        <w:contextualSpacing/>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adpis21"/>
        <w:ind w:left="710" w:hanging="0"/>
        <w:rPr/>
      </w:pPr>
      <w:bookmarkStart w:id="39" w:name="_Toc71021287"/>
      <w:r>
        <w:rPr/>
        <w:t>9.1. Výdavky - Tabuľka: Prehľad všeobecných a kapitálových výdavkov v čase transformácie DSS</w:t>
      </w:r>
      <w:bookmarkEnd w:id="39"/>
    </w:p>
    <w:p>
      <w:pPr>
        <w:pStyle w:val="Normal"/>
        <w:spacing w:before="0" w:after="0"/>
        <w:jc w:val="both"/>
        <w:rPr>
          <w:sz w:val="22"/>
          <w:szCs w:val="22"/>
        </w:rPr>
      </w:pPr>
      <w:r>
        <w:rPr>
          <w:sz w:val="22"/>
          <w:szCs w:val="22"/>
        </w:rPr>
        <w:t>Komplexná tabuľka 17  s odôvodnením nárastu výdavkov je súčasťou prílohy 12. Predpoklady na rok 2021 vychádzajú z finančných analýz za referenčné obdobie projektov financovaných prostredníctvom IROP.</w:t>
      </w:r>
    </w:p>
    <w:p>
      <w:pPr>
        <w:pStyle w:val="Normal"/>
        <w:spacing w:before="0" w:after="0"/>
        <w:jc w:val="both"/>
        <w:rPr>
          <w:sz w:val="22"/>
          <w:szCs w:val="22"/>
        </w:rPr>
      </w:pPr>
      <w:r>
        <w:rPr>
          <w:sz w:val="22"/>
          <w:szCs w:val="22"/>
        </w:rPr>
      </w:r>
    </w:p>
    <w:tbl>
      <w:tblPr>
        <w:tblW w:w="9288" w:type="dxa"/>
        <w:jc w:val="left"/>
        <w:tblInd w:w="0" w:type="dxa"/>
        <w:tblCellMar>
          <w:top w:w="0" w:type="dxa"/>
          <w:left w:w="108" w:type="dxa"/>
          <w:bottom w:w="0" w:type="dxa"/>
          <w:right w:w="108" w:type="dxa"/>
        </w:tblCellMar>
        <w:tblLook w:val="04a0"/>
      </w:tblPr>
      <w:tblGrid>
        <w:gridCol w:w="3786"/>
        <w:gridCol w:w="1414"/>
        <w:gridCol w:w="1556"/>
        <w:gridCol w:w="1271"/>
        <w:gridCol w:w="1261"/>
      </w:tblGrid>
      <w:tr>
        <w:trPr/>
        <w:tc>
          <w:tcPr>
            <w:tcW w:w="3786" w:type="dxa"/>
            <w:tcBorders>
              <w:top w:val="single" w:sz="4" w:space="0" w:color="000000"/>
              <w:left w:val="single" w:sz="4" w:space="0" w:color="000000"/>
              <w:bottom w:val="single" w:sz="4" w:space="0" w:color="000000"/>
              <w:right w:val="single" w:sz="4" w:space="0" w:color="000000"/>
            </w:tcBorders>
            <w:shd w:color="auto" w:fill="47CFFF" w:val="clear"/>
          </w:tcPr>
          <w:p>
            <w:pPr>
              <w:pStyle w:val="Normal"/>
              <w:spacing w:lineRule="auto" w:line="240" w:before="0" w:after="0"/>
              <w:rPr>
                <w:rFonts w:ascii="Calibri" w:hAnsi="Calibri" w:cs="Calibri"/>
                <w:b/>
                <w:b/>
                <w:bCs/>
                <w:sz w:val="22"/>
                <w:szCs w:val="22"/>
              </w:rPr>
            </w:pPr>
            <w:r>
              <w:rPr>
                <w:rFonts w:cs="Calibri" w:ascii="Calibri" w:hAnsi="Calibri"/>
                <w:b/>
                <w:bCs/>
                <w:sz w:val="22"/>
                <w:szCs w:val="22"/>
              </w:rPr>
              <w:t>Kategória</w:t>
            </w:r>
          </w:p>
        </w:tc>
        <w:tc>
          <w:tcPr>
            <w:tcW w:w="1414" w:type="dxa"/>
            <w:tcBorders>
              <w:top w:val="single" w:sz="4" w:space="0" w:color="000000"/>
              <w:left w:val="single" w:sz="4" w:space="0" w:color="000000"/>
              <w:bottom w:val="single" w:sz="4" w:space="0" w:color="000000"/>
              <w:right w:val="single" w:sz="4" w:space="0" w:color="000000"/>
            </w:tcBorders>
            <w:shd w:color="auto" w:fill="47CFFF" w:val="clear"/>
          </w:tcPr>
          <w:p>
            <w:pPr>
              <w:pStyle w:val="Normal"/>
              <w:spacing w:lineRule="auto" w:line="240" w:before="0" w:after="0"/>
              <w:jc w:val="center"/>
              <w:rPr>
                <w:rFonts w:ascii="Calibri" w:hAnsi="Calibri" w:cs="Calibri"/>
                <w:b/>
                <w:b/>
                <w:bCs/>
                <w:sz w:val="22"/>
                <w:szCs w:val="22"/>
              </w:rPr>
            </w:pPr>
            <w:r>
              <w:rPr>
                <w:rFonts w:cs="Calibri" w:ascii="Calibri" w:hAnsi="Calibri"/>
                <w:b/>
                <w:bCs/>
                <w:sz w:val="22"/>
                <w:szCs w:val="22"/>
              </w:rPr>
              <w:t>2018</w:t>
            </w:r>
          </w:p>
        </w:tc>
        <w:tc>
          <w:tcPr>
            <w:tcW w:w="1556" w:type="dxa"/>
            <w:tcBorders>
              <w:top w:val="single" w:sz="4" w:space="0" w:color="000000"/>
              <w:left w:val="single" w:sz="4" w:space="0" w:color="000000"/>
              <w:bottom w:val="single" w:sz="4" w:space="0" w:color="000000"/>
              <w:right w:val="single" w:sz="4" w:space="0" w:color="000000"/>
            </w:tcBorders>
            <w:shd w:color="auto" w:fill="47CFFF" w:val="clear"/>
          </w:tcPr>
          <w:p>
            <w:pPr>
              <w:pStyle w:val="Normal"/>
              <w:spacing w:lineRule="auto" w:line="240" w:before="0" w:after="0"/>
              <w:jc w:val="center"/>
              <w:rPr>
                <w:rFonts w:ascii="Calibri" w:hAnsi="Calibri" w:cs="Calibri"/>
                <w:b/>
                <w:b/>
                <w:bCs/>
                <w:sz w:val="22"/>
                <w:szCs w:val="22"/>
              </w:rPr>
            </w:pPr>
            <w:r>
              <w:rPr>
                <w:rFonts w:cs="Calibri" w:ascii="Calibri" w:hAnsi="Calibri"/>
                <w:b/>
                <w:bCs/>
                <w:sz w:val="22"/>
                <w:szCs w:val="22"/>
              </w:rPr>
              <w:t>2019</w:t>
            </w:r>
          </w:p>
        </w:tc>
        <w:tc>
          <w:tcPr>
            <w:tcW w:w="1271" w:type="dxa"/>
            <w:tcBorders>
              <w:top w:val="single" w:sz="4" w:space="0" w:color="000000"/>
              <w:left w:val="single" w:sz="4" w:space="0" w:color="000000"/>
              <w:bottom w:val="single" w:sz="4" w:space="0" w:color="000000"/>
              <w:right w:val="single" w:sz="4" w:space="0" w:color="000000"/>
            </w:tcBorders>
            <w:shd w:color="auto" w:fill="47CFFF" w:val="clear"/>
          </w:tcPr>
          <w:p>
            <w:pPr>
              <w:pStyle w:val="Normal"/>
              <w:spacing w:lineRule="auto" w:line="240" w:before="0" w:after="0"/>
              <w:jc w:val="center"/>
              <w:rPr>
                <w:rFonts w:ascii="Calibri" w:hAnsi="Calibri" w:cs="Calibri"/>
                <w:b/>
                <w:b/>
                <w:bCs/>
                <w:sz w:val="22"/>
                <w:szCs w:val="22"/>
              </w:rPr>
            </w:pPr>
            <w:r>
              <w:rPr>
                <w:rFonts w:cs="Calibri" w:ascii="Calibri" w:hAnsi="Calibri"/>
                <w:b/>
                <w:bCs/>
                <w:sz w:val="22"/>
                <w:szCs w:val="22"/>
              </w:rPr>
              <w:t>2020</w:t>
            </w:r>
          </w:p>
        </w:tc>
        <w:tc>
          <w:tcPr>
            <w:tcW w:w="1261" w:type="dxa"/>
            <w:tcBorders>
              <w:top w:val="single" w:sz="4" w:space="0" w:color="000000"/>
              <w:left w:val="single" w:sz="4" w:space="0" w:color="000000"/>
              <w:bottom w:val="single" w:sz="4" w:space="0" w:color="000000"/>
              <w:right w:val="single" w:sz="4" w:space="0" w:color="000000"/>
            </w:tcBorders>
            <w:shd w:color="auto" w:fill="47CFFF" w:val="clear"/>
          </w:tcPr>
          <w:p>
            <w:pPr>
              <w:pStyle w:val="Normal"/>
              <w:spacing w:lineRule="auto" w:line="240" w:before="0" w:after="0"/>
              <w:jc w:val="center"/>
              <w:rPr>
                <w:rFonts w:ascii="Calibri" w:hAnsi="Calibri" w:cs="Calibri"/>
                <w:b/>
                <w:b/>
                <w:bCs/>
                <w:sz w:val="22"/>
                <w:szCs w:val="22"/>
              </w:rPr>
            </w:pPr>
            <w:r>
              <w:rPr>
                <w:rFonts w:cs="Calibri" w:ascii="Calibri" w:hAnsi="Calibri"/>
                <w:b/>
                <w:bCs/>
                <w:sz w:val="22"/>
                <w:szCs w:val="22"/>
              </w:rPr>
              <w:t>2021</w:t>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610 Mzdy</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245 516</w:t>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270 067</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270 067</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356 794</w:t>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620 Poistné</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86 602</w:t>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97 224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97 224</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128 831</w:t>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630 Tovary a služby</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135 966</w:t>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145 000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200 000</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216 552</w:t>
            </w:r>
          </w:p>
        </w:tc>
      </w:tr>
      <w:tr>
        <w:trPr/>
        <w:tc>
          <w:tcPr>
            <w:tcW w:w="3786" w:type="dxa"/>
            <w:tcBorders>
              <w:top w:val="single" w:sz="4" w:space="0" w:color="000000"/>
              <w:left w:val="single" w:sz="4" w:space="0" w:color="000000"/>
              <w:bottom w:val="single" w:sz="4" w:space="0" w:color="000000"/>
              <w:right w:val="single" w:sz="4" w:space="0" w:color="000000"/>
            </w:tcBorders>
            <w:shd w:color="auto" w:fill="E7E6E6"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z toho 632 Energie, voda. komunikácie</w:t>
            </w:r>
          </w:p>
        </w:tc>
        <w:tc>
          <w:tcPr>
            <w:tcW w:w="1414" w:type="dxa"/>
            <w:tcBorders>
              <w:top w:val="single" w:sz="4" w:space="0" w:color="000000"/>
              <w:left w:val="single" w:sz="4" w:space="0" w:color="000000"/>
              <w:bottom w:val="single" w:sz="4" w:space="0" w:color="000000"/>
              <w:right w:val="single" w:sz="4" w:space="0" w:color="000000"/>
            </w:tcBorders>
            <w:shd w:color="auto" w:fill="E7E6E6"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52 100</w:t>
            </w:r>
          </w:p>
        </w:tc>
        <w:tc>
          <w:tcPr>
            <w:tcW w:w="1556" w:type="dxa"/>
            <w:tcBorders>
              <w:top w:val="single" w:sz="4" w:space="0" w:color="000000"/>
              <w:left w:val="single" w:sz="4" w:space="0" w:color="000000"/>
              <w:bottom w:val="single" w:sz="4" w:space="0" w:color="000000"/>
              <w:right w:val="single" w:sz="4" w:space="0" w:color="000000"/>
            </w:tcBorders>
            <w:shd w:color="auto" w:fill="E7E6E6"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55 000</w:t>
            </w:r>
          </w:p>
        </w:tc>
        <w:tc>
          <w:tcPr>
            <w:tcW w:w="1271" w:type="dxa"/>
            <w:tcBorders>
              <w:top w:val="single" w:sz="4" w:space="0" w:color="000000"/>
              <w:left w:val="single" w:sz="4" w:space="0" w:color="000000"/>
              <w:bottom w:val="single" w:sz="4" w:space="0" w:color="000000"/>
              <w:right w:val="single" w:sz="4" w:space="0" w:color="000000"/>
            </w:tcBorders>
            <w:shd w:color="auto" w:fill="E7E6E6"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55 000</w:t>
            </w:r>
          </w:p>
        </w:tc>
        <w:tc>
          <w:tcPr>
            <w:tcW w:w="1261" w:type="dxa"/>
            <w:tcBorders>
              <w:top w:val="single" w:sz="4" w:space="0" w:color="000000"/>
              <w:left w:val="single" w:sz="4" w:space="0" w:color="000000"/>
              <w:bottom w:val="single" w:sz="4" w:space="0" w:color="000000"/>
              <w:right w:val="single" w:sz="4" w:space="0" w:color="000000"/>
            </w:tcBorders>
            <w:shd w:color="auto" w:fill="E7E6E6"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68 093</w:t>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640 Bežné transfery</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2 713</w:t>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2 500</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2 500</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2 914</w:t>
            </w:r>
          </w:p>
        </w:tc>
      </w:tr>
      <w:tr>
        <w:trPr/>
        <w:tc>
          <w:tcPr>
            <w:tcW w:w="3786"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rPr>
                <w:rFonts w:ascii="Calibri" w:hAnsi="Calibri" w:cs="Calibri"/>
                <w:b/>
                <w:b/>
                <w:bCs/>
                <w:sz w:val="22"/>
                <w:szCs w:val="22"/>
              </w:rPr>
            </w:pPr>
            <w:r>
              <w:rPr>
                <w:rFonts w:cs="Calibri" w:ascii="Calibri" w:hAnsi="Calibri"/>
                <w:b/>
                <w:bCs/>
                <w:sz w:val="22"/>
                <w:szCs w:val="22"/>
              </w:rPr>
              <w:t>600 Bežné výdavky</w:t>
            </w:r>
          </w:p>
        </w:tc>
        <w:tc>
          <w:tcPr>
            <w:tcW w:w="1414"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jc w:val="right"/>
              <w:rPr>
                <w:rFonts w:ascii="Calibri" w:hAnsi="Calibri" w:cs="Calibri"/>
                <w:b/>
                <w:b/>
                <w:bCs/>
                <w:sz w:val="22"/>
                <w:szCs w:val="22"/>
              </w:rPr>
            </w:pPr>
            <w:r>
              <w:rPr>
                <w:rFonts w:cs="Calibri" w:ascii="Calibri" w:hAnsi="Calibri"/>
                <w:b/>
                <w:bCs/>
                <w:sz w:val="22"/>
                <w:szCs w:val="22"/>
              </w:rPr>
              <w:t>470 097</w:t>
            </w:r>
          </w:p>
        </w:tc>
        <w:tc>
          <w:tcPr>
            <w:tcW w:w="1556"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jc w:val="right"/>
              <w:rPr>
                <w:rFonts w:ascii="Calibri" w:hAnsi="Calibri" w:cs="Calibri"/>
                <w:b/>
                <w:b/>
                <w:bCs/>
                <w:sz w:val="22"/>
                <w:szCs w:val="22"/>
              </w:rPr>
            </w:pPr>
            <w:r>
              <w:rPr>
                <w:rFonts w:cs="Calibri" w:ascii="Calibri" w:hAnsi="Calibri"/>
                <w:b/>
                <w:bCs/>
                <w:sz w:val="22"/>
                <w:szCs w:val="22"/>
              </w:rPr>
              <w:t>514 791</w:t>
            </w:r>
          </w:p>
        </w:tc>
        <w:tc>
          <w:tcPr>
            <w:tcW w:w="1271"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jc w:val="right"/>
              <w:rPr>
                <w:rFonts w:ascii="Calibri" w:hAnsi="Calibri" w:cs="Calibri"/>
                <w:b/>
                <w:b/>
                <w:bCs/>
                <w:sz w:val="22"/>
                <w:szCs w:val="22"/>
              </w:rPr>
            </w:pPr>
            <w:r>
              <w:rPr>
                <w:rFonts w:cs="Calibri" w:ascii="Calibri" w:hAnsi="Calibri"/>
                <w:b/>
                <w:bCs/>
                <w:sz w:val="22"/>
                <w:szCs w:val="22"/>
              </w:rPr>
              <w:t>569 791</w:t>
            </w:r>
          </w:p>
        </w:tc>
        <w:tc>
          <w:tcPr>
            <w:tcW w:w="1261"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jc w:val="right"/>
              <w:rPr>
                <w:rFonts w:ascii="Calibri" w:hAnsi="Calibri" w:cs="Calibri"/>
                <w:b/>
                <w:b/>
                <w:bCs/>
                <w:sz w:val="22"/>
                <w:szCs w:val="22"/>
              </w:rPr>
            </w:pPr>
            <w:r>
              <w:rPr>
                <w:rFonts w:cs="Calibri" w:ascii="Calibri" w:hAnsi="Calibri"/>
                <w:b/>
                <w:bCs/>
                <w:sz w:val="22"/>
                <w:szCs w:val="22"/>
              </w:rPr>
              <w:t>705 091</w:t>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 xml:space="preserve">Rekonštrukcie – debarierizácia </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300 000</w:t>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Projektová dokumentácia</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38 477,24</w:t>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 xml:space="preserve">Projektová dokumentácia – úprava </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1 200</w:t>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r>
      <w:tr>
        <w:trPr/>
        <w:tc>
          <w:tcPr>
            <w:tcW w:w="9288" w:type="dxa"/>
            <w:gridSpan w:val="5"/>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rPr>
                <w:rFonts w:ascii="Calibri" w:hAnsi="Calibri" w:cs="Calibri"/>
                <w:b/>
                <w:b/>
                <w:bCs/>
                <w:sz w:val="22"/>
                <w:szCs w:val="22"/>
              </w:rPr>
            </w:pPr>
            <w:r>
              <w:rPr>
                <w:rFonts w:cs="Calibri" w:ascii="Calibri" w:hAnsi="Calibri"/>
                <w:b/>
                <w:bCs/>
                <w:sz w:val="22"/>
                <w:szCs w:val="22"/>
              </w:rPr>
              <w:t xml:space="preserve">Nákup pozemku a dvojdomu: </w:t>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 xml:space="preserve">Pozemok – Žiar nad Hronom </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60 000</w:t>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cs="Calibri"/>
                <w:sz w:val="22"/>
                <w:szCs w:val="22"/>
              </w:rPr>
            </w:pPr>
            <w:r>
              <w:rPr>
                <w:rFonts w:cs="Calibri" w:ascii="Calibri" w:hAnsi="Calibri"/>
                <w:sz w:val="22"/>
                <w:szCs w:val="22"/>
              </w:rPr>
            </w:r>
          </w:p>
        </w:tc>
        <w:tc>
          <w:tcPr>
            <w:tcW w:w="127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40" w:before="0" w:after="0"/>
              <w:jc w:val="center"/>
              <w:rPr>
                <w:rFonts w:ascii="Calibri" w:hAnsi="Calibri" w:cs="Calibri"/>
                <w:strike/>
                <w:sz w:val="22"/>
                <w:szCs w:val="22"/>
              </w:rPr>
            </w:pPr>
            <w:r>
              <w:rPr>
                <w:rFonts w:cs="Calibri" w:ascii="Calibri" w:hAnsi="Calibri"/>
                <w:strike/>
                <w:sz w:val="22"/>
                <w:szCs w:val="22"/>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trike/>
                <w:sz w:val="22"/>
                <w:szCs w:val="22"/>
              </w:rPr>
            </w:pPr>
            <w:r>
              <w:rPr>
                <w:rFonts w:cs="Calibri" w:ascii="Calibri" w:hAnsi="Calibri"/>
                <w:strike/>
                <w:sz w:val="22"/>
                <w:szCs w:val="22"/>
              </w:rPr>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 xml:space="preserve">Baboje dom – dvojdom </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 xml:space="preserve">160 000 </w:t>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cs="Calibri"/>
                <w:strike/>
                <w:sz w:val="22"/>
                <w:szCs w:val="22"/>
              </w:rPr>
            </w:pPr>
            <w:r>
              <w:rPr>
                <w:rFonts w:cs="Calibri" w:ascii="Calibri" w:hAnsi="Calibri"/>
                <w:strike/>
                <w:sz w:val="22"/>
                <w:szCs w:val="22"/>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trike/>
                <w:sz w:val="22"/>
                <w:szCs w:val="22"/>
              </w:rPr>
            </w:pPr>
            <w:r>
              <w:rPr>
                <w:rFonts w:cs="Calibri" w:ascii="Calibri" w:hAnsi="Calibri"/>
                <w:strike/>
                <w:sz w:val="22"/>
                <w:szCs w:val="22"/>
              </w:rPr>
            </w:r>
          </w:p>
        </w:tc>
      </w:tr>
      <w:tr>
        <w:trPr/>
        <w:tc>
          <w:tcPr>
            <w:tcW w:w="37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cs="Calibri"/>
                <w:sz w:val="22"/>
                <w:szCs w:val="22"/>
              </w:rPr>
            </w:pPr>
            <w:r>
              <w:rPr>
                <w:rFonts w:cs="Calibri" w:ascii="Calibri" w:hAnsi="Calibri"/>
                <w:sz w:val="22"/>
                <w:szCs w:val="22"/>
              </w:rPr>
              <w:t xml:space="preserve">Nákup auta </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r>
          </w:p>
        </w:tc>
        <w:tc>
          <w:tcPr>
            <w:tcW w:w="12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center"/>
              <w:rPr>
                <w:rFonts w:ascii="Calibri" w:hAnsi="Calibri" w:cs="Calibri"/>
                <w:strike/>
                <w:sz w:val="22"/>
                <w:szCs w:val="22"/>
              </w:rPr>
            </w:pPr>
            <w:r>
              <w:rPr>
                <w:rFonts w:cs="Calibri" w:ascii="Calibri" w:hAnsi="Calibri"/>
                <w:strike/>
                <w:sz w:val="22"/>
                <w:szCs w:val="22"/>
              </w:rPr>
            </w:r>
          </w:p>
        </w:tc>
        <w:tc>
          <w:tcPr>
            <w:tcW w:w="1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cs="Calibri"/>
                <w:sz w:val="22"/>
                <w:szCs w:val="22"/>
              </w:rPr>
            </w:pPr>
            <w:r>
              <w:rPr>
                <w:rFonts w:cs="Calibri" w:ascii="Calibri" w:hAnsi="Calibri"/>
                <w:sz w:val="22"/>
                <w:szCs w:val="22"/>
              </w:rPr>
              <w:t>45 000</w:t>
            </w:r>
          </w:p>
        </w:tc>
      </w:tr>
      <w:tr>
        <w:trPr/>
        <w:tc>
          <w:tcPr>
            <w:tcW w:w="3786"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rPr>
                <w:rFonts w:ascii="Calibri" w:hAnsi="Calibri" w:cs="Calibri"/>
                <w:b/>
                <w:b/>
                <w:bCs/>
                <w:sz w:val="22"/>
                <w:szCs w:val="22"/>
              </w:rPr>
            </w:pPr>
            <w:r>
              <w:rPr>
                <w:rFonts w:cs="Calibri" w:ascii="Calibri" w:hAnsi="Calibri"/>
                <w:b/>
                <w:bCs/>
                <w:sz w:val="22"/>
                <w:szCs w:val="22"/>
              </w:rPr>
              <w:t>700 Kapitálové výdavky</w:t>
            </w:r>
          </w:p>
        </w:tc>
        <w:tc>
          <w:tcPr>
            <w:tcW w:w="1414"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jc w:val="right"/>
              <w:rPr>
                <w:rFonts w:ascii="Calibri" w:hAnsi="Calibri" w:cs="Calibri"/>
                <w:b/>
                <w:b/>
                <w:bCs/>
                <w:sz w:val="22"/>
                <w:szCs w:val="22"/>
                <w:highlight w:val="yellow"/>
              </w:rPr>
            </w:pPr>
            <w:r>
              <w:rPr>
                <w:rFonts w:cs="Calibri" w:ascii="Calibri" w:hAnsi="Calibri"/>
                <w:b/>
                <w:bCs/>
                <w:sz w:val="22"/>
                <w:szCs w:val="22"/>
              </w:rPr>
              <w:t>300 000</w:t>
            </w:r>
          </w:p>
        </w:tc>
        <w:tc>
          <w:tcPr>
            <w:tcW w:w="1556"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jc w:val="right"/>
              <w:rPr>
                <w:rFonts w:ascii="Calibri" w:hAnsi="Calibri" w:cs="Calibri"/>
                <w:b/>
                <w:b/>
                <w:bCs/>
                <w:sz w:val="22"/>
                <w:szCs w:val="22"/>
              </w:rPr>
            </w:pPr>
            <w:r>
              <w:rPr>
                <w:rFonts w:cs="Calibri" w:ascii="Calibri" w:hAnsi="Calibri"/>
                <w:b/>
                <w:bCs/>
                <w:sz w:val="22"/>
                <w:szCs w:val="22"/>
              </w:rPr>
              <w:t>2 489 000 EŠIF</w:t>
            </w:r>
          </w:p>
          <w:p>
            <w:pPr>
              <w:pStyle w:val="Normal"/>
              <w:spacing w:lineRule="auto" w:line="240" w:before="0" w:after="0"/>
              <w:jc w:val="right"/>
              <w:rPr>
                <w:rFonts w:ascii="Calibri" w:hAnsi="Calibri" w:cs="Calibri"/>
                <w:b/>
                <w:b/>
                <w:bCs/>
                <w:sz w:val="22"/>
                <w:szCs w:val="22"/>
              </w:rPr>
            </w:pPr>
            <w:r>
              <w:rPr>
                <w:rFonts w:cs="Calibri" w:ascii="Calibri" w:hAnsi="Calibri"/>
                <w:b/>
                <w:bCs/>
                <w:sz w:val="22"/>
                <w:szCs w:val="22"/>
              </w:rPr>
              <w:t>300 000 VÚC</w:t>
            </w:r>
          </w:p>
        </w:tc>
        <w:tc>
          <w:tcPr>
            <w:tcW w:w="1271"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jc w:val="right"/>
              <w:rPr>
                <w:rFonts w:ascii="Calibri" w:hAnsi="Calibri" w:cs="Calibri"/>
                <w:b/>
                <w:b/>
                <w:bCs/>
                <w:sz w:val="22"/>
                <w:szCs w:val="22"/>
              </w:rPr>
            </w:pPr>
            <w:r>
              <w:rPr>
                <w:rFonts w:cs="Calibri" w:ascii="Calibri" w:hAnsi="Calibri"/>
                <w:b/>
                <w:bCs/>
                <w:sz w:val="22"/>
                <w:szCs w:val="22"/>
              </w:rPr>
              <w:t>500 000 EŠIF</w:t>
            </w:r>
          </w:p>
        </w:tc>
        <w:tc>
          <w:tcPr>
            <w:tcW w:w="1261" w:type="dxa"/>
            <w:tcBorders>
              <w:top w:val="single" w:sz="4" w:space="0" w:color="000000"/>
              <w:left w:val="single" w:sz="4" w:space="0" w:color="000000"/>
              <w:bottom w:val="single" w:sz="4" w:space="0" w:color="000000"/>
              <w:right w:val="single" w:sz="4" w:space="0" w:color="000000"/>
            </w:tcBorders>
            <w:shd w:color="auto" w:fill="47CFFF" w:val="clear"/>
            <w:vAlign w:val="center"/>
          </w:tcPr>
          <w:p>
            <w:pPr>
              <w:pStyle w:val="Normal"/>
              <w:spacing w:lineRule="auto" w:line="240" w:before="0" w:after="0"/>
              <w:jc w:val="right"/>
              <w:rPr>
                <w:rFonts w:ascii="Calibri" w:hAnsi="Calibri" w:cs="Calibri"/>
                <w:b/>
                <w:b/>
                <w:bCs/>
                <w:sz w:val="22"/>
                <w:szCs w:val="22"/>
              </w:rPr>
            </w:pPr>
            <w:r>
              <w:rPr>
                <w:rFonts w:cs="Calibri" w:ascii="Calibri" w:hAnsi="Calibri"/>
                <w:b/>
                <w:bCs/>
                <w:sz w:val="22"/>
                <w:szCs w:val="22"/>
              </w:rPr>
              <w:t>45 000 EŠIF</w:t>
            </w:r>
          </w:p>
        </w:tc>
      </w:tr>
    </w:tbl>
    <w:p>
      <w:pPr>
        <w:pStyle w:val="Normal"/>
        <w:spacing w:before="0" w:after="0"/>
        <w:rPr>
          <w:sz w:val="22"/>
          <w:szCs w:val="22"/>
        </w:rPr>
      </w:pPr>
      <w:r>
        <w:rPr>
          <w:sz w:val="22"/>
          <w:szCs w:val="22"/>
        </w:rPr>
        <w:t xml:space="preserve">Tabuľka 17 Prehľad všeobecných a kapitálových výdavkov v čase transformácie DSS (v €) </w:t>
      </w:r>
      <w:bookmarkStart w:id="40" w:name="_Toc59116536"/>
    </w:p>
    <w:p>
      <w:pPr>
        <w:pStyle w:val="Normal"/>
        <w:spacing w:before="0" w:after="0"/>
        <w:rPr>
          <w:sz w:val="22"/>
          <w:szCs w:val="22"/>
        </w:rPr>
      </w:pPr>
      <w:r>
        <w:rPr>
          <w:sz w:val="22"/>
          <w:szCs w:val="22"/>
        </w:rPr>
      </w:r>
    </w:p>
    <w:p>
      <w:pPr>
        <w:pStyle w:val="Normal"/>
        <w:spacing w:before="0" w:after="0"/>
        <w:rPr>
          <w:b/>
          <w:b/>
          <w:sz w:val="22"/>
        </w:rPr>
      </w:pPr>
      <w:r>
        <w:rPr>
          <w:b/>
          <w:sz w:val="22"/>
        </w:rPr>
        <w:t>Investičný projekt - využitie finančných zdrojov Integrovaného regionálneho operačného programu 2014 – 2020</w:t>
      </w:r>
      <w:bookmarkEnd w:id="40"/>
    </w:p>
    <w:p>
      <w:pPr>
        <w:pStyle w:val="Normal"/>
        <w:spacing w:before="0" w:after="0"/>
        <w:rPr>
          <w:sz w:val="22"/>
        </w:rPr>
      </w:pPr>
      <w:r>
        <w:rPr>
          <w:sz w:val="22"/>
        </w:rPr>
      </w:r>
    </w:p>
    <w:p>
      <w:pPr>
        <w:pStyle w:val="Normal"/>
        <w:spacing w:before="0" w:after="0"/>
        <w:jc w:val="both"/>
        <w:rPr/>
      </w:pPr>
      <w:r>
        <w:rPr>
          <w:sz w:val="22"/>
        </w:rPr>
        <w:t>Investičný projekt na začatie  procesu transformácie Domova sociálnych služieb Ladomerská Vieska  je súčasťou schválenej Regionálnej integrovanej územnej stratégie Banskobystrického samosprávneho kraja na roky 2014 -2020. Investičný projekt bude pripravený v súlade s výzvou na čerpanie finančných prostriedkov EŠIF a kritériami IROP 2014 – 2020. Cieľom projektu je v súlade so špecifickým cieľom 2.1.1. tohto dokumentu:</w:t>
      </w:r>
    </w:p>
    <w:p>
      <w:pPr>
        <w:pStyle w:val="Normal"/>
        <w:numPr>
          <w:ilvl w:val="0"/>
          <w:numId w:val="7"/>
        </w:numPr>
        <w:spacing w:before="0" w:after="0"/>
        <w:jc w:val="both"/>
        <w:rPr/>
      </w:pPr>
      <w:r>
        <w:rPr>
          <w:sz w:val="22"/>
        </w:rPr>
        <w:t>Rekonštrukcia, rozšírenie a modernizácia vhodných stavebných objektov pre vytvorenie priestorových podmienok na poskytovanie a zabezpečenie komunitnej starostlivosti v súlade s princípmi deinštitucionalizácie.</w:t>
      </w:r>
    </w:p>
    <w:p>
      <w:pPr>
        <w:pStyle w:val="Normal"/>
        <w:spacing w:before="0" w:after="0"/>
        <w:ind w:left="501" w:hanging="0"/>
        <w:jc w:val="both"/>
        <w:rPr/>
      </w:pPr>
      <w:r>
        <w:rPr/>
      </w:r>
    </w:p>
    <w:p>
      <w:pPr>
        <w:pStyle w:val="Normal"/>
        <w:spacing w:before="0" w:after="0"/>
        <w:rPr/>
      </w:pPr>
      <w:r>
        <w:rPr>
          <w:sz w:val="22"/>
        </w:rPr>
        <w:t>Predpokladaný odhad maximálneho čerpania finančných prostriedkov z EŠIF:  3 335 751,84 Eur.</w:t>
      </w:r>
    </w:p>
    <w:p>
      <w:pPr>
        <w:pStyle w:val="Normal"/>
        <w:spacing w:before="0" w:after="0"/>
        <w:jc w:val="both"/>
        <w:rPr>
          <w:b/>
          <w:b/>
          <w:sz w:val="22"/>
        </w:rPr>
      </w:pPr>
      <w:r>
        <w:rPr>
          <w:b/>
          <w:sz w:val="22"/>
        </w:rPr>
        <w:t>V rámci  prípravy projektu – I. etapa  sa orientačne plánujú tieto oprávnené aktivity.</w:t>
      </w:r>
    </w:p>
    <w:p>
      <w:pPr>
        <w:pStyle w:val="Normal"/>
        <w:spacing w:before="0" w:after="0"/>
        <w:jc w:val="both"/>
        <w:rPr/>
      </w:pPr>
      <w:r>
        <w:rPr/>
      </w:r>
    </w:p>
    <w:p>
      <w:pPr>
        <w:pStyle w:val="Normal"/>
        <w:spacing w:before="0" w:after="0"/>
        <w:jc w:val="both"/>
        <w:rPr/>
      </w:pPr>
      <w:r>
        <w:rPr>
          <w:sz w:val="22"/>
        </w:rPr>
        <w:t xml:space="preserve">Rekonštrukcia súčasných objektov Budova č. 1 na </w:t>
      </w:r>
      <w:r>
        <w:rPr>
          <w:b/>
          <w:sz w:val="22"/>
        </w:rPr>
        <w:t>Centrum denných aktivít</w:t>
      </w:r>
      <w:r>
        <w:rPr>
          <w:sz w:val="22"/>
        </w:rPr>
        <w:t xml:space="preserve"> na sociálnu rehabilitáciu PSS a administratívne zázemie pre zamestnancov, jedna ubytovacia miestnosť pre príbuzných. </w:t>
      </w:r>
    </w:p>
    <w:p>
      <w:pPr>
        <w:pStyle w:val="Normal"/>
        <w:spacing w:before="0" w:after="0"/>
        <w:jc w:val="both"/>
        <w:rPr>
          <w:sz w:val="22"/>
        </w:rPr>
      </w:pPr>
      <w:r>
        <w:rPr>
          <w:sz w:val="22"/>
        </w:rPr>
        <w:t xml:space="preserve">Rekonštrukcia  objektu č. 3 </w:t>
      </w:r>
      <w:r>
        <w:rPr>
          <w:b/>
          <w:sz w:val="22"/>
        </w:rPr>
        <w:t>Dankov dom,</w:t>
      </w:r>
      <w:r>
        <w:rPr>
          <w:sz w:val="22"/>
        </w:rPr>
        <w:t xml:space="preserve"> kde by bolo ubytovaných 12 PSS v dvoch  bytových jednotkách so samostatnými vchodmi.</w:t>
      </w:r>
    </w:p>
    <w:p>
      <w:pPr>
        <w:pStyle w:val="Normal"/>
        <w:spacing w:before="0" w:after="0"/>
        <w:jc w:val="both"/>
        <w:rPr/>
      </w:pPr>
      <w:r>
        <w:rPr/>
      </w:r>
    </w:p>
    <w:p>
      <w:pPr>
        <w:pStyle w:val="Normal"/>
        <w:spacing w:before="0" w:after="0"/>
        <w:jc w:val="both"/>
        <w:rPr>
          <w:sz w:val="22"/>
        </w:rPr>
      </w:pPr>
      <w:r>
        <w:rPr>
          <w:sz w:val="22"/>
        </w:rPr>
        <w:t xml:space="preserve">Kúpa a následná rekonštrukcia </w:t>
      </w:r>
      <w:r>
        <w:rPr>
          <w:b/>
          <w:sz w:val="22"/>
        </w:rPr>
        <w:t xml:space="preserve">dvojdomu Baboje dom, Ladomerská Vieska </w:t>
      </w:r>
      <w:r>
        <w:rPr>
          <w:sz w:val="22"/>
        </w:rPr>
        <w:t>č. 164 kde by bolo ubytovaných 12 PSS v dvoch  bytových jednotkách so samostatnými vchodmi.</w:t>
      </w:r>
    </w:p>
    <w:p>
      <w:pPr>
        <w:pStyle w:val="Normal"/>
        <w:spacing w:before="0" w:after="0"/>
        <w:jc w:val="both"/>
        <w:rPr/>
      </w:pPr>
      <w:r>
        <w:rPr/>
      </w:r>
    </w:p>
    <w:p>
      <w:pPr>
        <w:pStyle w:val="Normal"/>
        <w:spacing w:before="0" w:after="0"/>
        <w:jc w:val="both"/>
        <w:rPr>
          <w:sz w:val="22"/>
        </w:rPr>
      </w:pPr>
      <w:r>
        <w:rPr>
          <w:sz w:val="22"/>
        </w:rPr>
        <w:t xml:space="preserve">Kúpa pozemku v Žiari nad Hronom na Partizánskej  ulici a výstavba nového dvojdomu - </w:t>
      </w:r>
      <w:r>
        <w:rPr>
          <w:b/>
          <w:sz w:val="22"/>
        </w:rPr>
        <w:t>Dom ZH Partizánska</w:t>
      </w:r>
      <w:r>
        <w:rPr>
          <w:sz w:val="22"/>
        </w:rPr>
        <w:t xml:space="preserve"> pre 12 PSS v dvoch bytových jednotkách so samostatnými vchodmi. </w:t>
      </w:r>
    </w:p>
    <w:p>
      <w:pPr>
        <w:pStyle w:val="Normal"/>
        <w:spacing w:before="0" w:after="0"/>
        <w:jc w:val="both"/>
        <w:rPr/>
      </w:pPr>
      <w:r>
        <w:rPr/>
      </w:r>
    </w:p>
    <w:p>
      <w:pPr>
        <w:pStyle w:val="Normal"/>
        <w:jc w:val="both"/>
        <w:rPr>
          <w:rFonts w:eastAsia="Times New Roman"/>
          <w:iCs/>
          <w:sz w:val="22"/>
          <w:szCs w:val="22"/>
          <w:lang w:eastAsia="sk-SK"/>
        </w:rPr>
      </w:pPr>
      <w:r>
        <w:rPr>
          <w:rFonts w:eastAsia="Times New Roman"/>
          <w:iCs/>
          <w:sz w:val="22"/>
          <w:szCs w:val="22"/>
          <w:lang w:eastAsia="sk-SK"/>
        </w:rPr>
      </w:r>
    </w:p>
    <w:tbl>
      <w:tblPr>
        <w:tblW w:w="9158" w:type="dxa"/>
        <w:jc w:val="left"/>
        <w:tblInd w:w="0" w:type="dxa"/>
        <w:tblCellMar>
          <w:top w:w="0" w:type="dxa"/>
          <w:left w:w="108" w:type="dxa"/>
          <w:bottom w:w="0" w:type="dxa"/>
          <w:right w:w="108" w:type="dxa"/>
        </w:tblCellMar>
        <w:tblLook w:val="04a0"/>
      </w:tblPr>
      <w:tblGrid>
        <w:gridCol w:w="5464"/>
        <w:gridCol w:w="3693"/>
      </w:tblGrid>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rPr>
                <w:rFonts w:ascii="Calibri" w:hAnsi="Calibri"/>
                <w:b/>
                <w:b/>
                <w:sz w:val="22"/>
                <w:szCs w:val="22"/>
              </w:rPr>
            </w:pPr>
            <w:r>
              <w:rPr>
                <w:rFonts w:ascii="Calibri" w:hAnsi="Calibri"/>
                <w:b/>
                <w:sz w:val="22"/>
                <w:szCs w:val="22"/>
              </w:rPr>
              <w:t>Plánovaná aktivita</w:t>
            </w:r>
          </w:p>
        </w:tc>
        <w:tc>
          <w:tcPr>
            <w:tcW w:w="3693" w:type="dxa"/>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jc w:val="right"/>
              <w:rPr>
                <w:rFonts w:ascii="Calibri" w:hAnsi="Calibri"/>
                <w:b/>
                <w:b/>
                <w:sz w:val="22"/>
                <w:szCs w:val="22"/>
              </w:rPr>
            </w:pPr>
            <w:r>
              <w:rPr>
                <w:rFonts w:ascii="Calibri" w:hAnsi="Calibri"/>
                <w:b/>
                <w:sz w:val="22"/>
                <w:szCs w:val="22"/>
              </w:rPr>
              <w:t xml:space="preserve">Finančná potreba v € </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stavebné práce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2 632 475,78</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rezerva na nepredvídateľné výdavky na stavebné práce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65 811,89</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stavebný dozor</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52 649,52</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projektová dokumentácia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39 800,00</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zariadenie, vybavenie, technika</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267 529,69</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nákup pozemkov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60 000,00</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nákup budov</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160 000,00</w:t>
            </w:r>
          </w:p>
        </w:tc>
      </w:tr>
      <w:tr>
        <w:trPr>
          <w:trHeight w:val="249" w:hRule="atLeast"/>
        </w:trPr>
        <w:tc>
          <w:tcPr>
            <w:tcW w:w="9157" w:type="dxa"/>
            <w:gridSpan w:val="2"/>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rPr>
                <w:rFonts w:ascii="Calibri" w:hAnsi="Calibri"/>
                <w:sz w:val="22"/>
                <w:szCs w:val="22"/>
              </w:rPr>
            </w:pPr>
            <w:r>
              <w:rPr>
                <w:rFonts w:ascii="Calibri" w:hAnsi="Calibri"/>
                <w:b/>
                <w:sz w:val="22"/>
                <w:szCs w:val="22"/>
              </w:rPr>
              <w:t xml:space="preserve">Podporné aktivity </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Informovanie a publicita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1 538,00</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Veľkoplošný pútač (4*315,80 €)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1 263,20</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Stála tabuľa (4*68,70 €)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274,80</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rPr>
                <w:rFonts w:ascii="Calibri" w:hAnsi="Calibri"/>
                <w:b/>
                <w:b/>
                <w:sz w:val="22"/>
                <w:szCs w:val="22"/>
              </w:rPr>
            </w:pPr>
            <w:r>
              <w:rPr>
                <w:rFonts w:ascii="Calibri" w:hAnsi="Calibri"/>
                <w:b/>
                <w:sz w:val="22"/>
                <w:szCs w:val="22"/>
              </w:rPr>
              <w:t xml:space="preserve">Riadenie projektu </w:t>
            </w:r>
          </w:p>
        </w:tc>
        <w:tc>
          <w:tcPr>
            <w:tcW w:w="3693" w:type="dxa"/>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jc w:val="right"/>
              <w:rPr>
                <w:rFonts w:ascii="Calibri" w:hAnsi="Calibri"/>
                <w:b/>
                <w:b/>
                <w:sz w:val="22"/>
                <w:szCs w:val="22"/>
              </w:rPr>
            </w:pPr>
            <w:r>
              <w:rPr>
                <w:rFonts w:ascii="Calibri" w:hAnsi="Calibri"/>
                <w:b/>
                <w:sz w:val="22"/>
                <w:szCs w:val="22"/>
              </w:rPr>
              <w:t>55 946,96</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Finančný manažér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10 646,00</w:t>
            </w:r>
          </w:p>
        </w:tc>
      </w:tr>
      <w:tr>
        <w:trPr>
          <w:trHeight w:val="245" w:hRule="atLeast"/>
        </w:trPr>
        <w:tc>
          <w:tcPr>
            <w:tcW w:w="5464" w:type="dxa"/>
            <w:tcBorders>
              <w:top w:val="single" w:sz="4" w:space="0" w:color="000000"/>
              <w:left w:val="single" w:sz="4" w:space="0" w:color="000000"/>
              <w:bottom w:val="single" w:sz="2"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Projektový manažér </w:t>
            </w:r>
          </w:p>
        </w:tc>
        <w:tc>
          <w:tcPr>
            <w:tcW w:w="3693" w:type="dxa"/>
            <w:tcBorders>
              <w:top w:val="single" w:sz="4" w:space="0" w:color="000000"/>
              <w:left w:val="single" w:sz="4" w:space="0" w:color="000000"/>
              <w:bottom w:val="single" w:sz="2"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45 300,96</w:t>
            </w:r>
          </w:p>
        </w:tc>
      </w:tr>
      <w:tr>
        <w:trPr>
          <w:trHeight w:val="245" w:hRule="atLeast"/>
        </w:trPr>
        <w:tc>
          <w:tcPr>
            <w:tcW w:w="5464" w:type="dxa"/>
            <w:tcBorders>
              <w:top w:val="single" w:sz="2" w:space="0" w:color="000000"/>
              <w:left w:val="single" w:sz="2" w:space="0" w:color="000000"/>
              <w:bottom w:val="single" w:sz="12" w:space="0" w:color="000000"/>
              <w:right w:val="single" w:sz="2" w:space="0" w:color="000000"/>
            </w:tcBorders>
            <w:shd w:color="auto" w:fill="A1E7FD" w:val="clear"/>
          </w:tcPr>
          <w:p>
            <w:pPr>
              <w:pStyle w:val="Telotextu"/>
              <w:spacing w:lineRule="auto" w:line="240" w:before="0" w:after="0"/>
              <w:rPr>
                <w:rFonts w:ascii="Calibri" w:hAnsi="Calibri"/>
                <w:b/>
                <w:b/>
                <w:sz w:val="22"/>
                <w:szCs w:val="22"/>
              </w:rPr>
            </w:pPr>
            <w:r>
              <w:rPr>
                <w:rFonts w:ascii="Calibri" w:hAnsi="Calibri"/>
                <w:b/>
                <w:sz w:val="22"/>
                <w:szCs w:val="22"/>
              </w:rPr>
              <w:t>SPOLU</w:t>
            </w:r>
          </w:p>
        </w:tc>
        <w:tc>
          <w:tcPr>
            <w:tcW w:w="3693" w:type="dxa"/>
            <w:tcBorders>
              <w:top w:val="single" w:sz="2" w:space="0" w:color="000000"/>
              <w:left w:val="single" w:sz="2" w:space="0" w:color="000000"/>
              <w:bottom w:val="single" w:sz="12" w:space="0" w:color="000000"/>
              <w:right w:val="single" w:sz="2" w:space="0" w:color="000000"/>
            </w:tcBorders>
            <w:shd w:color="auto" w:fill="A1E7FD" w:val="clear"/>
          </w:tcPr>
          <w:p>
            <w:pPr>
              <w:pStyle w:val="Telotextu"/>
              <w:spacing w:lineRule="auto" w:line="240" w:before="0" w:after="0"/>
              <w:jc w:val="right"/>
              <w:rPr>
                <w:rFonts w:ascii="Calibri" w:hAnsi="Calibri"/>
                <w:b/>
                <w:b/>
                <w:sz w:val="22"/>
                <w:szCs w:val="22"/>
              </w:rPr>
            </w:pPr>
            <w:r>
              <w:rPr>
                <w:rFonts w:ascii="Calibri" w:hAnsi="Calibri"/>
                <w:b/>
                <w:sz w:val="22"/>
                <w:szCs w:val="22"/>
              </w:rPr>
              <w:t>3 335 751,84</w:t>
            </w:r>
          </w:p>
        </w:tc>
      </w:tr>
      <w:tr>
        <w:trPr>
          <w:trHeight w:val="245" w:hRule="atLeast"/>
        </w:trPr>
        <w:tc>
          <w:tcPr>
            <w:tcW w:w="5464" w:type="dxa"/>
            <w:tcBorders>
              <w:top w:val="single" w:sz="12" w:space="0" w:color="000000"/>
              <w:left w:val="single" w:sz="12" w:space="0" w:color="000000"/>
              <w:bottom w:val="single" w:sz="12" w:space="0" w:color="000000"/>
            </w:tcBorders>
            <w:shd w:color="auto" w:fill="A1E7FD" w:val="clear"/>
          </w:tcPr>
          <w:p>
            <w:pPr>
              <w:pStyle w:val="Telotextu"/>
              <w:spacing w:lineRule="auto" w:line="240" w:before="0" w:after="0"/>
              <w:rPr>
                <w:rFonts w:ascii="Calibri" w:hAnsi="Calibri"/>
                <w:b/>
                <w:b/>
                <w:sz w:val="22"/>
                <w:szCs w:val="22"/>
              </w:rPr>
            </w:pPr>
            <w:r>
              <w:rPr>
                <w:rFonts w:ascii="Calibri" w:hAnsi="Calibri"/>
                <w:b/>
                <w:sz w:val="22"/>
                <w:szCs w:val="22"/>
              </w:rPr>
              <w:t xml:space="preserve">Výška spolufinancovania </w:t>
            </w:r>
          </w:p>
        </w:tc>
        <w:tc>
          <w:tcPr>
            <w:tcW w:w="3693" w:type="dxa"/>
            <w:tcBorders>
              <w:top w:val="single" w:sz="12" w:space="0" w:color="000000"/>
              <w:bottom w:val="single" w:sz="12" w:space="0" w:color="000000"/>
              <w:right w:val="single" w:sz="12" w:space="0" w:color="000000"/>
            </w:tcBorders>
            <w:shd w:color="auto" w:fill="A1E7FD" w:val="clear"/>
          </w:tcPr>
          <w:p>
            <w:pPr>
              <w:pStyle w:val="Telotextu"/>
              <w:spacing w:lineRule="auto" w:line="240" w:before="0" w:after="0"/>
              <w:jc w:val="right"/>
              <w:rPr>
                <w:rFonts w:ascii="Calibri" w:hAnsi="Calibri"/>
                <w:b/>
                <w:b/>
                <w:sz w:val="22"/>
                <w:szCs w:val="22"/>
              </w:rPr>
            </w:pPr>
            <w:r>
              <w:rPr>
                <w:rFonts w:ascii="Calibri" w:hAnsi="Calibri"/>
                <w:b/>
                <w:sz w:val="22"/>
                <w:szCs w:val="22"/>
              </w:rPr>
              <w:t>166 787,59</w:t>
            </w:r>
          </w:p>
        </w:tc>
      </w:tr>
    </w:tbl>
    <w:p>
      <w:pPr>
        <w:pStyle w:val="Telotextu"/>
        <w:spacing w:lineRule="auto" w:line="240" w:before="0" w:after="0"/>
        <w:ind w:hanging="142"/>
        <w:rPr>
          <w:b/>
          <w:b/>
          <w:bCs/>
          <w:color w:val="000000"/>
          <w:sz w:val="22"/>
          <w:szCs w:val="22"/>
        </w:rPr>
      </w:pPr>
      <w:r>
        <w:rPr>
          <w:color w:val="000000"/>
          <w:sz w:val="22"/>
          <w:szCs w:val="22"/>
          <w:highlight w:val="white"/>
        </w:rPr>
        <w:t xml:space="preserve">Tabuľka 18 Predpokladané náklady na realizáciu </w:t>
      </w:r>
      <w:r>
        <w:rPr>
          <w:bCs/>
          <w:color w:val="000000"/>
          <w:sz w:val="22"/>
          <w:szCs w:val="22"/>
          <w:highlight w:val="white"/>
        </w:rPr>
        <w:t>prvej fázy</w:t>
      </w:r>
    </w:p>
    <w:p>
      <w:pPr>
        <w:pStyle w:val="Telotextu"/>
        <w:spacing w:lineRule="auto" w:line="240" w:before="0" w:after="0"/>
        <w:ind w:hanging="142"/>
        <w:jc w:val="both"/>
        <w:rPr>
          <w:rFonts w:ascii="Calibri" w:hAnsi="Calibri"/>
          <w:color w:val="000000"/>
          <w:sz w:val="22"/>
          <w:szCs w:val="22"/>
        </w:rPr>
      </w:pPr>
      <w:r>
        <w:rPr>
          <w:rFonts w:ascii="Calibri" w:hAnsi="Calibri"/>
          <w:color w:val="000000"/>
          <w:sz w:val="22"/>
          <w:szCs w:val="22"/>
        </w:rPr>
      </w:r>
    </w:p>
    <w:p>
      <w:pPr>
        <w:pStyle w:val="Telotextu"/>
        <w:spacing w:lineRule="auto" w:line="240" w:before="0" w:after="0"/>
        <w:ind w:hanging="142"/>
        <w:jc w:val="both"/>
        <w:rPr>
          <w:rFonts w:ascii="Calibri" w:hAnsi="Calibri"/>
          <w:color w:val="000000"/>
          <w:sz w:val="22"/>
          <w:szCs w:val="22"/>
        </w:rPr>
      </w:pPr>
      <w:r>
        <w:rPr>
          <w:rFonts w:ascii="Calibri" w:hAnsi="Calibri"/>
          <w:color w:val="000000"/>
          <w:sz w:val="22"/>
          <w:szCs w:val="22"/>
        </w:rPr>
      </w:r>
    </w:p>
    <w:tbl>
      <w:tblPr>
        <w:tblW w:w="9158" w:type="dxa"/>
        <w:jc w:val="left"/>
        <w:tblInd w:w="0" w:type="dxa"/>
        <w:tblCellMar>
          <w:top w:w="0" w:type="dxa"/>
          <w:left w:w="108" w:type="dxa"/>
          <w:bottom w:w="0" w:type="dxa"/>
          <w:right w:w="108" w:type="dxa"/>
        </w:tblCellMar>
        <w:tblLook w:val="04a0"/>
      </w:tblPr>
      <w:tblGrid>
        <w:gridCol w:w="5464"/>
        <w:gridCol w:w="3693"/>
      </w:tblGrid>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rPr>
                <w:rFonts w:ascii="Calibri" w:hAnsi="Calibri"/>
                <w:b/>
                <w:b/>
                <w:sz w:val="22"/>
                <w:szCs w:val="22"/>
              </w:rPr>
            </w:pPr>
            <w:r>
              <w:rPr>
                <w:rFonts w:ascii="Calibri" w:hAnsi="Calibri"/>
                <w:b/>
                <w:sz w:val="22"/>
                <w:szCs w:val="22"/>
              </w:rPr>
              <w:t>Plánovaná aktivita</w:t>
            </w:r>
          </w:p>
        </w:tc>
        <w:tc>
          <w:tcPr>
            <w:tcW w:w="3693" w:type="dxa"/>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jc w:val="right"/>
              <w:rPr>
                <w:rFonts w:ascii="Calibri" w:hAnsi="Calibri"/>
                <w:b/>
                <w:b/>
                <w:sz w:val="22"/>
                <w:szCs w:val="22"/>
              </w:rPr>
            </w:pPr>
            <w:r>
              <w:rPr>
                <w:rFonts w:ascii="Calibri" w:hAnsi="Calibri"/>
                <w:b/>
                <w:sz w:val="22"/>
                <w:szCs w:val="22"/>
              </w:rPr>
              <w:t xml:space="preserve">Finančná potreba v € </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stavebné práce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780 000,00</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rezerva na nepredvídateľné výdavky na stavebné práce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17 000,00</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stavebný dozor</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15 500,00</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projektová dokumentácia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22 000,00</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zariadenie, vybavenie, technika</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56 000,00</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nákup pozemkov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60 000,00</w:t>
            </w:r>
          </w:p>
        </w:tc>
      </w:tr>
      <w:tr>
        <w:trPr>
          <w:trHeight w:val="249"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nákup budov</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 </w:t>
            </w:r>
            <w:r>
              <w:rPr>
                <w:rFonts w:ascii="Calibri" w:hAnsi="Calibri"/>
                <w:sz w:val="22"/>
                <w:szCs w:val="22"/>
              </w:rPr>
              <w:t>0,00</w:t>
            </w:r>
          </w:p>
        </w:tc>
      </w:tr>
      <w:tr>
        <w:trPr>
          <w:trHeight w:val="249" w:hRule="atLeast"/>
        </w:trPr>
        <w:tc>
          <w:tcPr>
            <w:tcW w:w="9157" w:type="dxa"/>
            <w:gridSpan w:val="2"/>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rPr>
                <w:rFonts w:ascii="Calibri" w:hAnsi="Calibri"/>
                <w:sz w:val="22"/>
                <w:szCs w:val="22"/>
              </w:rPr>
            </w:pPr>
            <w:r>
              <w:rPr>
                <w:rFonts w:ascii="Calibri" w:hAnsi="Calibri"/>
                <w:b/>
                <w:sz w:val="22"/>
                <w:szCs w:val="22"/>
              </w:rPr>
              <w:t xml:space="preserve">Podporné aktivity                         </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Informovanie a publicita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1 538,00</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Veľkoplošný pútač (4*315,80 €)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1 263,20</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Stála tabuľa (4*68,70 €)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274,80</w:t>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rPr>
                <w:rFonts w:ascii="Calibri" w:hAnsi="Calibri"/>
                <w:b/>
                <w:b/>
                <w:sz w:val="22"/>
                <w:szCs w:val="22"/>
              </w:rPr>
            </w:pPr>
            <w:r>
              <w:rPr>
                <w:rFonts w:ascii="Calibri" w:hAnsi="Calibri"/>
                <w:b/>
                <w:sz w:val="22"/>
                <w:szCs w:val="22"/>
              </w:rPr>
              <w:t xml:space="preserve">Riadenie projektu </w:t>
            </w:r>
          </w:p>
        </w:tc>
        <w:tc>
          <w:tcPr>
            <w:tcW w:w="3693" w:type="dxa"/>
            <w:tcBorders>
              <w:top w:val="single" w:sz="4" w:space="0" w:color="000000"/>
              <w:left w:val="single" w:sz="4" w:space="0" w:color="000000"/>
              <w:bottom w:val="single" w:sz="4" w:space="0" w:color="000000"/>
              <w:right w:val="single" w:sz="4" w:space="0" w:color="000000"/>
            </w:tcBorders>
            <w:shd w:color="auto" w:fill="A1E7FD" w:val="clear"/>
          </w:tcPr>
          <w:p>
            <w:pPr>
              <w:pStyle w:val="Telotextu"/>
              <w:spacing w:lineRule="auto" w:line="240" w:before="0" w:after="0"/>
              <w:jc w:val="right"/>
              <w:rPr>
                <w:rFonts w:ascii="Calibri" w:hAnsi="Calibri"/>
                <w:b/>
                <w:b/>
                <w:sz w:val="22"/>
                <w:szCs w:val="22"/>
              </w:rPr>
            </w:pPr>
            <w:r>
              <w:rPr>
                <w:rFonts w:ascii="Calibri" w:hAnsi="Calibri"/>
                <w:b/>
                <w:sz w:val="22"/>
                <w:szCs w:val="22"/>
              </w:rPr>
            </w:r>
          </w:p>
        </w:tc>
      </w:tr>
      <w:tr>
        <w:trPr>
          <w:trHeight w:val="245" w:hRule="atLeast"/>
        </w:trPr>
        <w:tc>
          <w:tcPr>
            <w:tcW w:w="5464"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Finančný manažér </w:t>
            </w:r>
          </w:p>
        </w:tc>
        <w:tc>
          <w:tcPr>
            <w:tcW w:w="3693" w:type="dxa"/>
            <w:tcBorders>
              <w:top w:val="single" w:sz="4" w:space="0" w:color="000000"/>
              <w:left w:val="single" w:sz="4" w:space="0" w:color="000000"/>
              <w:bottom w:val="single" w:sz="4"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5 000,00</w:t>
            </w:r>
          </w:p>
        </w:tc>
      </w:tr>
      <w:tr>
        <w:trPr>
          <w:trHeight w:val="245" w:hRule="atLeast"/>
        </w:trPr>
        <w:tc>
          <w:tcPr>
            <w:tcW w:w="5464" w:type="dxa"/>
            <w:tcBorders>
              <w:top w:val="single" w:sz="4" w:space="0" w:color="000000"/>
              <w:left w:val="single" w:sz="4" w:space="0" w:color="000000"/>
              <w:bottom w:val="single" w:sz="2" w:space="0" w:color="000000"/>
              <w:right w:val="single" w:sz="4" w:space="0" w:color="000000"/>
            </w:tcBorders>
            <w:shd w:color="auto" w:fill="auto" w:val="clear"/>
          </w:tcPr>
          <w:p>
            <w:pPr>
              <w:pStyle w:val="Telotextu"/>
              <w:spacing w:lineRule="auto" w:line="240" w:before="0" w:after="0"/>
              <w:rPr>
                <w:rFonts w:ascii="Calibri" w:hAnsi="Calibri"/>
                <w:sz w:val="22"/>
                <w:szCs w:val="22"/>
              </w:rPr>
            </w:pPr>
            <w:r>
              <w:rPr>
                <w:rFonts w:ascii="Calibri" w:hAnsi="Calibri"/>
                <w:sz w:val="22"/>
                <w:szCs w:val="22"/>
              </w:rPr>
              <w:t xml:space="preserve">Projektový manažér </w:t>
            </w:r>
          </w:p>
        </w:tc>
        <w:tc>
          <w:tcPr>
            <w:tcW w:w="3693" w:type="dxa"/>
            <w:tcBorders>
              <w:top w:val="single" w:sz="4" w:space="0" w:color="000000"/>
              <w:left w:val="single" w:sz="4" w:space="0" w:color="000000"/>
              <w:bottom w:val="single" w:sz="2" w:space="0" w:color="000000"/>
              <w:right w:val="single" w:sz="4" w:space="0" w:color="000000"/>
            </w:tcBorders>
            <w:shd w:color="auto" w:fill="auto" w:val="clear"/>
          </w:tcPr>
          <w:p>
            <w:pPr>
              <w:pStyle w:val="Telotextu"/>
              <w:spacing w:lineRule="auto" w:line="240" w:before="0" w:after="0"/>
              <w:jc w:val="right"/>
              <w:rPr>
                <w:rFonts w:ascii="Calibri" w:hAnsi="Calibri"/>
                <w:sz w:val="22"/>
                <w:szCs w:val="22"/>
              </w:rPr>
            </w:pPr>
            <w:r>
              <w:rPr>
                <w:rFonts w:ascii="Calibri" w:hAnsi="Calibri"/>
                <w:sz w:val="22"/>
                <w:szCs w:val="22"/>
              </w:rPr>
              <w:t>12 000,00</w:t>
            </w:r>
          </w:p>
        </w:tc>
      </w:tr>
      <w:tr>
        <w:trPr>
          <w:trHeight w:val="245" w:hRule="atLeast"/>
        </w:trPr>
        <w:tc>
          <w:tcPr>
            <w:tcW w:w="5464" w:type="dxa"/>
            <w:tcBorders>
              <w:top w:val="single" w:sz="2" w:space="0" w:color="000000"/>
              <w:left w:val="single" w:sz="2" w:space="0" w:color="000000"/>
              <w:bottom w:val="single" w:sz="12" w:space="0" w:color="000000"/>
              <w:right w:val="single" w:sz="2" w:space="0" w:color="000000"/>
            </w:tcBorders>
            <w:shd w:color="auto" w:fill="A1E7FD" w:val="clear"/>
          </w:tcPr>
          <w:p>
            <w:pPr>
              <w:pStyle w:val="Telotextu"/>
              <w:spacing w:lineRule="auto" w:line="240" w:before="0" w:after="0"/>
              <w:rPr>
                <w:rFonts w:ascii="Calibri" w:hAnsi="Calibri"/>
                <w:b/>
                <w:b/>
                <w:sz w:val="22"/>
                <w:szCs w:val="22"/>
              </w:rPr>
            </w:pPr>
            <w:r>
              <w:rPr>
                <w:rFonts w:ascii="Calibri" w:hAnsi="Calibri"/>
                <w:b/>
                <w:sz w:val="22"/>
                <w:szCs w:val="22"/>
              </w:rPr>
              <w:t>SPOLU</w:t>
            </w:r>
          </w:p>
        </w:tc>
        <w:tc>
          <w:tcPr>
            <w:tcW w:w="3693" w:type="dxa"/>
            <w:tcBorders>
              <w:top w:val="single" w:sz="2" w:space="0" w:color="000000"/>
              <w:left w:val="single" w:sz="2" w:space="0" w:color="000000"/>
              <w:bottom w:val="single" w:sz="12" w:space="0" w:color="000000"/>
              <w:right w:val="single" w:sz="2" w:space="0" w:color="000000"/>
            </w:tcBorders>
            <w:shd w:color="auto" w:fill="A1E7FD" w:val="clear"/>
          </w:tcPr>
          <w:p>
            <w:pPr>
              <w:pStyle w:val="Telotextu"/>
              <w:spacing w:lineRule="auto" w:line="240" w:before="0" w:after="0"/>
              <w:jc w:val="right"/>
              <w:rPr>
                <w:rFonts w:ascii="Calibri" w:hAnsi="Calibri"/>
                <w:b/>
                <w:b/>
                <w:sz w:val="22"/>
                <w:szCs w:val="22"/>
              </w:rPr>
            </w:pPr>
            <w:r>
              <w:rPr>
                <w:rFonts w:ascii="Calibri" w:hAnsi="Calibri"/>
                <w:b/>
                <w:sz w:val="22"/>
                <w:szCs w:val="22"/>
              </w:rPr>
              <w:t>970 576,00</w:t>
            </w:r>
          </w:p>
        </w:tc>
      </w:tr>
      <w:tr>
        <w:trPr>
          <w:trHeight w:val="245" w:hRule="atLeast"/>
        </w:trPr>
        <w:tc>
          <w:tcPr>
            <w:tcW w:w="5464" w:type="dxa"/>
            <w:tcBorders>
              <w:top w:val="single" w:sz="12" w:space="0" w:color="000000"/>
              <w:left w:val="single" w:sz="12" w:space="0" w:color="000000"/>
              <w:bottom w:val="single" w:sz="12" w:space="0" w:color="000000"/>
            </w:tcBorders>
            <w:shd w:color="auto" w:fill="A1E7FD" w:val="clear"/>
          </w:tcPr>
          <w:p>
            <w:pPr>
              <w:pStyle w:val="Telotextu"/>
              <w:spacing w:lineRule="auto" w:line="240" w:before="0" w:after="0"/>
              <w:rPr>
                <w:rFonts w:ascii="Calibri" w:hAnsi="Calibri"/>
                <w:b/>
                <w:b/>
                <w:sz w:val="22"/>
                <w:szCs w:val="22"/>
              </w:rPr>
            </w:pPr>
            <w:r>
              <w:rPr>
                <w:rFonts w:ascii="Calibri" w:hAnsi="Calibri"/>
                <w:b/>
                <w:sz w:val="22"/>
                <w:szCs w:val="22"/>
              </w:rPr>
              <w:t xml:space="preserve">Výška spolufinancovania </w:t>
            </w:r>
          </w:p>
        </w:tc>
        <w:tc>
          <w:tcPr>
            <w:tcW w:w="3693" w:type="dxa"/>
            <w:tcBorders>
              <w:top w:val="single" w:sz="12" w:space="0" w:color="000000"/>
              <w:bottom w:val="single" w:sz="12" w:space="0" w:color="000000"/>
              <w:right w:val="single" w:sz="12" w:space="0" w:color="000000"/>
            </w:tcBorders>
            <w:shd w:color="auto" w:fill="A1E7FD" w:val="clear"/>
          </w:tcPr>
          <w:p>
            <w:pPr>
              <w:pStyle w:val="Telotextu"/>
              <w:spacing w:lineRule="auto" w:line="240" w:before="0" w:after="0"/>
              <w:jc w:val="right"/>
              <w:rPr>
                <w:rFonts w:ascii="Calibri" w:hAnsi="Calibri"/>
                <w:b/>
                <w:b/>
                <w:sz w:val="22"/>
                <w:szCs w:val="22"/>
              </w:rPr>
            </w:pPr>
            <w:r>
              <w:rPr>
                <w:rFonts w:ascii="Calibri" w:hAnsi="Calibri"/>
                <w:b/>
                <w:sz w:val="22"/>
                <w:szCs w:val="22"/>
              </w:rPr>
              <w:t>48 528,80</w:t>
            </w:r>
          </w:p>
        </w:tc>
      </w:tr>
    </w:tbl>
    <w:p>
      <w:pPr>
        <w:pStyle w:val="Telotextu"/>
        <w:spacing w:lineRule="auto" w:line="240" w:before="0" w:after="0"/>
        <w:ind w:hanging="142"/>
        <w:rPr>
          <w:sz w:val="22"/>
          <w:szCs w:val="22"/>
        </w:rPr>
      </w:pPr>
      <w:r>
        <w:rPr>
          <w:sz w:val="22"/>
          <w:szCs w:val="22"/>
          <w:highlight w:val="white"/>
        </w:rPr>
        <w:t xml:space="preserve">Tabuľka 19 Predpokladané náklady na realizáciu </w:t>
      </w:r>
      <w:r>
        <w:rPr>
          <w:bCs/>
          <w:sz w:val="22"/>
          <w:szCs w:val="22"/>
          <w:highlight w:val="white"/>
        </w:rPr>
        <w:t>druhej fázy</w:t>
      </w:r>
    </w:p>
    <w:p>
      <w:pPr>
        <w:pStyle w:val="Telotextu"/>
        <w:spacing w:lineRule="auto" w:line="240" w:before="0" w:after="0"/>
        <w:jc w:val="both"/>
        <w:rPr>
          <w:rFonts w:ascii="Calibri" w:hAnsi="Calibri" w:cs="Calibri"/>
          <w:sz w:val="22"/>
        </w:rPr>
      </w:pPr>
      <w:r>
        <w:rPr>
          <w:rFonts w:cs="Calibri" w:ascii="Calibri" w:hAnsi="Calibri"/>
          <w:sz w:val="22"/>
        </w:rPr>
      </w:r>
    </w:p>
    <w:p>
      <w:pPr>
        <w:pStyle w:val="Telotextu"/>
        <w:spacing w:before="0" w:after="0"/>
        <w:ind w:left="-142" w:hanging="0"/>
        <w:jc w:val="both"/>
        <w:rPr>
          <w:sz w:val="22"/>
        </w:rPr>
      </w:pPr>
      <w:r>
        <w:rPr>
          <w:sz w:val="22"/>
        </w:rPr>
        <w:t xml:space="preserve">Zmena v kritériách, ktoré sú nastavené pri  čerpaní zdrojov z EŠIF si vyžaduje vykonanie niekoľkých zásadných  zmien oproti projektu, ktorý bol vyhotovený v minulom programovom období, tzn. vzniká potreba vypracovať nové projektové dokumentácie, ktoré budú zhotovené na základe nového verejného obstarávania. Nie je možné použiť ani jednu z vyhotovených projektových dokumentácii, vzhľadom na to, že pôvodne projektované budovy už nemáme k dispozícii. Jedná sa o budovu chaty RSC vo Vyhniach, ktorá nám bola odňatá zo správy, ďalej budova medailérskeho ateliéru v Kremnici, ktorú bývalé vedenie BBSK dalo na odpredaj.  </w:t>
      </w:r>
    </w:p>
    <w:p>
      <w:pPr>
        <w:pStyle w:val="Telotextu"/>
        <w:spacing w:lineRule="auto" w:line="240" w:before="0" w:after="0"/>
        <w:ind w:left="-142" w:hanging="0"/>
        <w:jc w:val="both"/>
        <w:rPr>
          <w:rFonts w:ascii="Calibri" w:hAnsi="Calibri" w:cs="Calibri"/>
          <w:sz w:val="22"/>
        </w:rPr>
      </w:pPr>
      <w:r>
        <w:rPr>
          <w:rFonts w:cs="Calibri" w:ascii="Calibri" w:hAnsi="Calibri"/>
          <w:sz w:val="22"/>
        </w:rPr>
      </w:r>
    </w:p>
    <w:p>
      <w:pPr>
        <w:pStyle w:val="Telotextu"/>
        <w:spacing w:lineRule="auto" w:line="240" w:before="0" w:after="0"/>
        <w:ind w:left="-142" w:hanging="0"/>
        <w:jc w:val="both"/>
        <w:rPr>
          <w:rFonts w:ascii="Calibri" w:hAnsi="Calibri" w:cs="Calibri"/>
          <w:sz w:val="22"/>
        </w:rPr>
      </w:pPr>
      <w:r>
        <w:rPr>
          <w:rFonts w:cs="Calibri" w:ascii="Calibri" w:hAnsi="Calibri"/>
          <w:sz w:val="22"/>
        </w:rPr>
      </w:r>
    </w:p>
    <w:p>
      <w:pPr>
        <w:pStyle w:val="Telotextu"/>
        <w:spacing w:lineRule="auto" w:line="240" w:before="0" w:after="0"/>
        <w:jc w:val="both"/>
        <w:rPr>
          <w:rFonts w:ascii="Calibri" w:hAnsi="Calibri" w:cs="Calibri"/>
          <w:sz w:val="22"/>
        </w:rPr>
      </w:pPr>
      <w:r>
        <w:rPr>
          <w:rFonts w:cs="Calibri" w:ascii="Calibri" w:hAnsi="Calibri"/>
          <w:sz w:val="22"/>
        </w:rPr>
      </w:r>
    </w:p>
    <w:p>
      <w:pPr>
        <w:pStyle w:val="Telotextu"/>
        <w:spacing w:lineRule="auto" w:line="240" w:before="0" w:after="0"/>
        <w:jc w:val="both"/>
        <w:rPr>
          <w:rFonts w:ascii="Calibri" w:hAnsi="Calibri"/>
          <w:sz w:val="22"/>
          <w:szCs w:val="22"/>
        </w:rPr>
      </w:pPr>
      <w:r>
        <w:rPr>
          <w:rFonts w:ascii="Calibri" w:hAnsi="Calibri"/>
          <w:sz w:val="22"/>
          <w:szCs w:val="22"/>
        </w:rPr>
      </w:r>
    </w:p>
    <w:p>
      <w:pPr>
        <w:pStyle w:val="Telotextu"/>
        <w:spacing w:lineRule="auto" w:line="240" w:before="0" w:after="0"/>
        <w:jc w:val="both"/>
        <w:rPr>
          <w:rFonts w:ascii="Calibri" w:hAnsi="Calibri"/>
          <w:sz w:val="22"/>
          <w:szCs w:val="22"/>
        </w:rPr>
      </w:pPr>
      <w:r>
        <w:rPr>
          <w:rFonts w:ascii="Calibri" w:hAnsi="Calibri"/>
          <w:sz w:val="22"/>
          <w:szCs w:val="22"/>
        </w:rPr>
      </w:r>
    </w:p>
    <w:p>
      <w:pPr>
        <w:pStyle w:val="Telotextu"/>
        <w:spacing w:lineRule="auto" w:line="240" w:before="0" w:after="0"/>
        <w:jc w:val="both"/>
        <w:rPr>
          <w:rFonts w:ascii="Calibri" w:hAnsi="Calibri"/>
          <w:sz w:val="22"/>
          <w:szCs w:val="22"/>
        </w:rPr>
      </w:pPr>
      <w:r>
        <w:rPr>
          <w:rFonts w:ascii="Calibri" w:hAnsi="Calibri"/>
          <w:sz w:val="22"/>
          <w:szCs w:val="22"/>
        </w:rPr>
      </w:r>
    </w:p>
    <w:p>
      <w:pPr>
        <w:pStyle w:val="Nadpis21"/>
        <w:ind w:left="720" w:hanging="11"/>
        <w:rPr/>
      </w:pPr>
      <w:bookmarkStart w:id="41" w:name="_Toc71021288"/>
      <w:r>
        <w:rPr/>
        <w:t>9.2. Príjmy</w:t>
      </w:r>
      <w:bookmarkEnd w:id="41"/>
    </w:p>
    <w:tbl>
      <w:tblPr>
        <w:tblW w:w="9593" w:type="dxa"/>
        <w:jc w:val="left"/>
        <w:tblInd w:w="-40" w:type="dxa"/>
        <w:tblCellMar>
          <w:top w:w="0" w:type="dxa"/>
          <w:left w:w="70" w:type="dxa"/>
          <w:bottom w:w="0" w:type="dxa"/>
          <w:right w:w="70" w:type="dxa"/>
        </w:tblCellMar>
        <w:tblLook w:val="0000"/>
      </w:tblPr>
      <w:tblGrid>
        <w:gridCol w:w="3071"/>
        <w:gridCol w:w="841"/>
        <w:gridCol w:w="1014"/>
        <w:gridCol w:w="891"/>
        <w:gridCol w:w="888"/>
        <w:gridCol w:w="1035"/>
        <w:gridCol w:w="988"/>
        <w:gridCol w:w="863"/>
      </w:tblGrid>
      <w:tr>
        <w:trPr>
          <w:trHeight w:val="43" w:hRule="atLeast"/>
        </w:trPr>
        <w:tc>
          <w:tcPr>
            <w:tcW w:w="3071" w:type="dxa"/>
            <w:tcBorders>
              <w:top w:val="single" w:sz="8" w:space="0" w:color="000000"/>
              <w:left w:val="single" w:sz="4" w:space="0" w:color="000000"/>
              <w:bottom w:val="single" w:sz="4" w:space="0" w:color="000000"/>
              <w:right w:val="single" w:sz="4" w:space="0" w:color="000000"/>
            </w:tcBorders>
            <w:shd w:color="auto" w:fill="A1E7FD" w:val="clear"/>
            <w:vAlign w:val="bottom"/>
          </w:tcPr>
          <w:p>
            <w:pPr>
              <w:pStyle w:val="Normal"/>
              <w:spacing w:lineRule="auto" w:line="240" w:before="0" w:after="0"/>
              <w:rPr>
                <w:rFonts w:ascii="Calibri" w:hAnsi="Calibri"/>
                <w:b/>
                <w:b/>
                <w:sz w:val="20"/>
                <w:szCs w:val="20"/>
              </w:rPr>
            </w:pPr>
            <w:r>
              <w:rPr>
                <w:rFonts w:eastAsia="Times New Roman" w:cs="Calibri" w:ascii="Calibri" w:hAnsi="Calibri"/>
                <w:b/>
                <w:color w:val="000000"/>
                <w:sz w:val="20"/>
                <w:szCs w:val="20"/>
                <w:lang w:eastAsia="sk-SK"/>
              </w:rPr>
              <w:t> </w:t>
            </w:r>
            <w:r>
              <w:rPr>
                <w:rFonts w:eastAsia="Times New Roman" w:cs="Calibri" w:ascii="Calibri" w:hAnsi="Calibri"/>
                <w:b/>
                <w:color w:val="000000"/>
                <w:sz w:val="20"/>
                <w:szCs w:val="20"/>
                <w:lang w:eastAsia="sk-SK"/>
              </w:rPr>
              <w:t>Rok</w:t>
            </w:r>
          </w:p>
        </w:tc>
        <w:tc>
          <w:tcPr>
            <w:tcW w:w="841" w:type="dxa"/>
            <w:tcBorders>
              <w:top w:val="single" w:sz="8" w:space="0" w:color="000000"/>
              <w:left w:val="single" w:sz="4" w:space="0" w:color="000000"/>
              <w:bottom w:val="single" w:sz="4" w:space="0" w:color="000000"/>
              <w:right w:val="single" w:sz="4" w:space="0" w:color="000000"/>
            </w:tcBorders>
            <w:shd w:color="auto" w:fill="A1E7FD" w:val="clear"/>
            <w:vAlign w:val="bottom"/>
          </w:tcPr>
          <w:p>
            <w:pPr>
              <w:pStyle w:val="Normal"/>
              <w:spacing w:lineRule="auto" w:line="240" w:before="0" w:after="0"/>
              <w:jc w:val="center"/>
              <w:rPr>
                <w:rFonts w:ascii="Calibri" w:hAnsi="Calibri"/>
                <w:b/>
                <w:b/>
                <w:sz w:val="20"/>
                <w:szCs w:val="20"/>
              </w:rPr>
            </w:pPr>
            <w:r>
              <w:rPr>
                <w:rFonts w:eastAsia="Times New Roman" w:cs="Calibri" w:ascii="Calibri" w:hAnsi="Calibri"/>
                <w:b/>
                <w:bCs/>
                <w:color w:val="000000"/>
                <w:sz w:val="20"/>
                <w:szCs w:val="20"/>
                <w:lang w:eastAsia="sk-SK"/>
              </w:rPr>
              <w:t>2015</w:t>
            </w:r>
          </w:p>
        </w:tc>
        <w:tc>
          <w:tcPr>
            <w:tcW w:w="1014" w:type="dxa"/>
            <w:tcBorders>
              <w:top w:val="single" w:sz="8" w:space="0" w:color="000000"/>
              <w:left w:val="single" w:sz="4" w:space="0" w:color="000000"/>
              <w:bottom w:val="single" w:sz="4" w:space="0" w:color="000000"/>
              <w:right w:val="single" w:sz="4" w:space="0" w:color="000000"/>
            </w:tcBorders>
            <w:shd w:color="auto" w:fill="A1E7FD" w:val="clear"/>
            <w:vAlign w:val="bottom"/>
          </w:tcPr>
          <w:p>
            <w:pPr>
              <w:pStyle w:val="Normal"/>
              <w:spacing w:lineRule="auto" w:line="240" w:before="0" w:after="0"/>
              <w:jc w:val="center"/>
              <w:rPr>
                <w:rFonts w:ascii="Calibri" w:hAnsi="Calibri"/>
                <w:b/>
                <w:b/>
                <w:sz w:val="20"/>
                <w:szCs w:val="20"/>
              </w:rPr>
            </w:pPr>
            <w:r>
              <w:rPr>
                <w:rFonts w:eastAsia="Times New Roman" w:cs="Calibri" w:ascii="Calibri" w:hAnsi="Calibri"/>
                <w:b/>
                <w:bCs/>
                <w:color w:val="000000"/>
                <w:sz w:val="20"/>
                <w:szCs w:val="20"/>
                <w:lang w:eastAsia="sk-SK"/>
              </w:rPr>
              <w:t>2016</w:t>
            </w:r>
          </w:p>
        </w:tc>
        <w:tc>
          <w:tcPr>
            <w:tcW w:w="891" w:type="dxa"/>
            <w:tcBorders>
              <w:top w:val="single" w:sz="8" w:space="0" w:color="000000"/>
              <w:left w:val="single" w:sz="4" w:space="0" w:color="000000"/>
              <w:bottom w:val="single" w:sz="4" w:space="0" w:color="000000"/>
              <w:right w:val="single" w:sz="4" w:space="0" w:color="000000"/>
            </w:tcBorders>
            <w:shd w:color="auto" w:fill="A1E7FD" w:val="clear"/>
            <w:vAlign w:val="bottom"/>
          </w:tcPr>
          <w:p>
            <w:pPr>
              <w:pStyle w:val="Normal"/>
              <w:spacing w:lineRule="auto" w:line="240" w:before="0" w:after="0"/>
              <w:jc w:val="center"/>
              <w:rPr>
                <w:rFonts w:ascii="Calibri" w:hAnsi="Calibri"/>
                <w:b/>
                <w:b/>
                <w:sz w:val="20"/>
                <w:szCs w:val="20"/>
              </w:rPr>
            </w:pPr>
            <w:r>
              <w:rPr>
                <w:rFonts w:eastAsia="Times New Roman" w:cs="Calibri" w:ascii="Calibri" w:hAnsi="Calibri"/>
                <w:b/>
                <w:bCs/>
                <w:color w:val="000000"/>
                <w:sz w:val="20"/>
                <w:szCs w:val="20"/>
                <w:lang w:eastAsia="sk-SK"/>
              </w:rPr>
              <w:t>2017</w:t>
            </w:r>
          </w:p>
        </w:tc>
        <w:tc>
          <w:tcPr>
            <w:tcW w:w="888" w:type="dxa"/>
            <w:tcBorders>
              <w:top w:val="single" w:sz="8" w:space="0" w:color="000000"/>
              <w:left w:val="single" w:sz="4" w:space="0" w:color="000000"/>
              <w:bottom w:val="single" w:sz="4" w:space="0" w:color="000000"/>
              <w:right w:val="single" w:sz="4" w:space="0" w:color="000000"/>
            </w:tcBorders>
            <w:shd w:color="auto" w:fill="A1E7FD" w:val="clear"/>
            <w:vAlign w:val="bottom"/>
          </w:tcPr>
          <w:p>
            <w:pPr>
              <w:pStyle w:val="Normal"/>
              <w:spacing w:lineRule="auto" w:line="240" w:before="0" w:after="0"/>
              <w:jc w:val="center"/>
              <w:rPr>
                <w:rFonts w:ascii="Calibri" w:hAnsi="Calibri"/>
                <w:b/>
                <w:b/>
                <w:sz w:val="20"/>
                <w:szCs w:val="20"/>
              </w:rPr>
            </w:pPr>
            <w:r>
              <w:rPr>
                <w:rFonts w:eastAsia="Times New Roman" w:cs="Calibri" w:ascii="Calibri" w:hAnsi="Calibri"/>
                <w:b/>
                <w:bCs/>
                <w:color w:val="000000"/>
                <w:sz w:val="20"/>
                <w:szCs w:val="20"/>
                <w:lang w:eastAsia="sk-SK"/>
              </w:rPr>
              <w:t>2018</w:t>
            </w:r>
          </w:p>
        </w:tc>
        <w:tc>
          <w:tcPr>
            <w:tcW w:w="1035" w:type="dxa"/>
            <w:tcBorders>
              <w:top w:val="single" w:sz="8" w:space="0" w:color="000000"/>
              <w:left w:val="single" w:sz="4" w:space="0" w:color="000000"/>
              <w:bottom w:val="single" w:sz="4" w:space="0" w:color="000000"/>
              <w:right w:val="single" w:sz="4" w:space="0" w:color="000000"/>
            </w:tcBorders>
            <w:shd w:color="auto" w:fill="A1E7FD" w:val="clear"/>
            <w:vAlign w:val="bottom"/>
          </w:tcPr>
          <w:p>
            <w:pPr>
              <w:pStyle w:val="Normal"/>
              <w:spacing w:lineRule="auto" w:line="240" w:before="0" w:after="0"/>
              <w:jc w:val="center"/>
              <w:rPr>
                <w:rFonts w:ascii="Calibri" w:hAnsi="Calibri"/>
                <w:b/>
                <w:b/>
                <w:sz w:val="20"/>
                <w:szCs w:val="20"/>
              </w:rPr>
            </w:pPr>
            <w:r>
              <w:rPr>
                <w:rFonts w:eastAsia="Times New Roman" w:cs="Calibri" w:ascii="Calibri" w:hAnsi="Calibri"/>
                <w:b/>
                <w:bCs/>
                <w:color w:val="000000"/>
                <w:sz w:val="20"/>
                <w:szCs w:val="20"/>
                <w:lang w:eastAsia="sk-SK"/>
              </w:rPr>
              <w:t>2019</w:t>
            </w:r>
          </w:p>
        </w:tc>
        <w:tc>
          <w:tcPr>
            <w:tcW w:w="988" w:type="dxa"/>
            <w:tcBorders>
              <w:top w:val="single" w:sz="8" w:space="0" w:color="000000"/>
              <w:left w:val="single" w:sz="4" w:space="0" w:color="000000"/>
              <w:bottom w:val="single" w:sz="4" w:space="0" w:color="000000"/>
              <w:right w:val="single" w:sz="4" w:space="0" w:color="000000"/>
            </w:tcBorders>
            <w:shd w:color="auto" w:fill="A1E7FD" w:val="clear"/>
            <w:vAlign w:val="bottom"/>
          </w:tcPr>
          <w:p>
            <w:pPr>
              <w:pStyle w:val="Normal"/>
              <w:spacing w:lineRule="auto" w:line="240" w:before="0" w:after="0"/>
              <w:jc w:val="center"/>
              <w:rPr>
                <w:rFonts w:ascii="Calibri" w:hAnsi="Calibri"/>
                <w:b/>
                <w:b/>
                <w:sz w:val="20"/>
                <w:szCs w:val="20"/>
              </w:rPr>
            </w:pPr>
            <w:r>
              <w:rPr>
                <w:rFonts w:eastAsia="Times New Roman" w:cs="Calibri" w:ascii="Calibri" w:hAnsi="Calibri"/>
                <w:b/>
                <w:bCs/>
                <w:color w:val="000000"/>
                <w:sz w:val="20"/>
                <w:szCs w:val="20"/>
                <w:lang w:eastAsia="sk-SK"/>
              </w:rPr>
              <w:t>2020</w:t>
            </w:r>
          </w:p>
        </w:tc>
        <w:tc>
          <w:tcPr>
            <w:tcW w:w="863" w:type="dxa"/>
            <w:tcBorders>
              <w:top w:val="single" w:sz="8" w:space="0" w:color="000000"/>
              <w:left w:val="single" w:sz="4" w:space="0" w:color="000000"/>
              <w:bottom w:val="single" w:sz="4" w:space="0" w:color="000000"/>
              <w:right w:val="single" w:sz="4" w:space="0" w:color="000000"/>
            </w:tcBorders>
            <w:shd w:color="auto" w:fill="A1E7FD" w:val="clear"/>
            <w:vAlign w:val="bottom"/>
          </w:tcPr>
          <w:p>
            <w:pPr>
              <w:pStyle w:val="Normal"/>
              <w:spacing w:lineRule="auto" w:line="240" w:before="0" w:after="0"/>
              <w:jc w:val="center"/>
              <w:rPr>
                <w:rFonts w:ascii="Calibri" w:hAnsi="Calibri"/>
                <w:b/>
                <w:b/>
                <w:sz w:val="20"/>
                <w:szCs w:val="20"/>
              </w:rPr>
            </w:pPr>
            <w:r>
              <w:rPr>
                <w:rFonts w:eastAsia="Times New Roman" w:cs="Calibri" w:ascii="Calibri" w:hAnsi="Calibri"/>
                <w:b/>
                <w:bCs/>
                <w:color w:val="000000"/>
                <w:sz w:val="20"/>
                <w:szCs w:val="20"/>
                <w:lang w:eastAsia="sk-SK"/>
              </w:rPr>
              <w:t>2021</w:t>
            </w:r>
          </w:p>
        </w:tc>
      </w:tr>
      <w:tr>
        <w:trPr>
          <w:trHeight w:val="347" w:hRule="atLeast"/>
        </w:trPr>
        <w:tc>
          <w:tcPr>
            <w:tcW w:w="3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sz w:val="20"/>
                <w:szCs w:val="20"/>
              </w:rPr>
            </w:pPr>
            <w:r>
              <w:rPr>
                <w:rFonts w:eastAsia="Times New Roman" w:cs="Calibri" w:ascii="Calibri" w:hAnsi="Calibri"/>
                <w:bCs/>
                <w:color w:val="000000"/>
                <w:sz w:val="20"/>
                <w:szCs w:val="20"/>
                <w:lang w:eastAsia="sk-SK"/>
              </w:rPr>
              <w:t>Bežné výdavky</w:t>
            </w:r>
          </w:p>
        </w:tc>
        <w:tc>
          <w:tcPr>
            <w:tcW w:w="8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432 511</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444 741</w:t>
            </w:r>
          </w:p>
        </w:tc>
        <w:tc>
          <w:tcPr>
            <w:tcW w:w="8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466 505</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470 797</w:t>
            </w:r>
          </w:p>
        </w:tc>
        <w:tc>
          <w:tcPr>
            <w:tcW w:w="1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507 500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557 500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659 500</w:t>
            </w:r>
          </w:p>
        </w:tc>
      </w:tr>
      <w:tr>
        <w:trPr>
          <w:trHeight w:val="347" w:hRule="atLeast"/>
        </w:trPr>
        <w:tc>
          <w:tcPr>
            <w:tcW w:w="3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sz w:val="20"/>
                <w:szCs w:val="20"/>
              </w:rPr>
            </w:pPr>
            <w:r>
              <w:rPr>
                <w:rFonts w:eastAsia="Times New Roman" w:cs="Calibri" w:ascii="Calibri" w:hAnsi="Calibri"/>
                <w:bCs/>
                <w:color w:val="000000"/>
                <w:sz w:val="20"/>
                <w:szCs w:val="20"/>
                <w:lang w:eastAsia="sk-SK"/>
              </w:rPr>
              <w:t>Kapitálové výdavky + podporné aktivity projektu</w:t>
            </w:r>
          </w:p>
        </w:tc>
        <w:tc>
          <w:tcPr>
            <w:tcW w:w="8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0</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2970</w:t>
            </w:r>
          </w:p>
        </w:tc>
        <w:tc>
          <w:tcPr>
            <w:tcW w:w="8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0</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300 000</w:t>
            </w:r>
          </w:p>
        </w:tc>
        <w:tc>
          <w:tcPr>
            <w:tcW w:w="1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2 489 000</w:t>
            </w:r>
          </w:p>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EŠIF</w:t>
            </w:r>
          </w:p>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300 000</w:t>
            </w:r>
          </w:p>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 xml:space="preserve">VÚC </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500 000 EŠIF</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45 000</w:t>
            </w:r>
          </w:p>
          <w:p>
            <w:pPr>
              <w:pStyle w:val="Normal"/>
              <w:spacing w:lineRule="auto" w:line="240" w:before="0" w:after="0"/>
              <w:jc w:val="right"/>
              <w:rPr>
                <w:rFonts w:ascii="Calibri" w:hAnsi="Calibri"/>
                <w:sz w:val="20"/>
                <w:szCs w:val="20"/>
              </w:rPr>
            </w:pPr>
            <w:r>
              <w:rPr>
                <w:rFonts w:eastAsia="Times New Roman" w:cs="Calibri" w:ascii="Calibri" w:hAnsi="Calibri"/>
                <w:bCs/>
                <w:color w:val="000000"/>
                <w:sz w:val="20"/>
                <w:szCs w:val="20"/>
                <w:lang w:eastAsia="sk-SK"/>
              </w:rPr>
              <w:t>EŠIF</w:t>
            </w:r>
          </w:p>
        </w:tc>
      </w:tr>
      <w:tr>
        <w:trPr>
          <w:trHeight w:val="347" w:hRule="atLeast"/>
        </w:trPr>
        <w:tc>
          <w:tcPr>
            <w:tcW w:w="3071"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rPr>
                <w:rFonts w:ascii="Calibri" w:hAnsi="Calibri"/>
                <w:b/>
                <w:b/>
                <w:sz w:val="20"/>
                <w:szCs w:val="20"/>
              </w:rPr>
            </w:pPr>
            <w:r>
              <w:rPr>
                <w:rFonts w:eastAsia="Times New Roman" w:cs="Calibri" w:ascii="Calibri" w:hAnsi="Calibri"/>
                <w:b/>
                <w:bCs/>
                <w:color w:val="000000"/>
                <w:sz w:val="20"/>
                <w:szCs w:val="20"/>
                <w:lang w:eastAsia="sk-SK"/>
              </w:rPr>
              <w:t>Celkové príjmy</w:t>
            </w:r>
          </w:p>
        </w:tc>
        <w:tc>
          <w:tcPr>
            <w:tcW w:w="841"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jc w:val="right"/>
              <w:rPr>
                <w:rFonts w:ascii="Calibri" w:hAnsi="Calibri"/>
                <w:b/>
                <w:b/>
                <w:sz w:val="20"/>
                <w:szCs w:val="20"/>
              </w:rPr>
            </w:pPr>
            <w:r>
              <w:rPr>
                <w:rFonts w:eastAsia="Times New Roman" w:cs="Calibri" w:ascii="Calibri" w:hAnsi="Calibri"/>
                <w:b/>
                <w:bCs/>
                <w:color w:val="000000"/>
                <w:sz w:val="20"/>
                <w:szCs w:val="20"/>
                <w:lang w:eastAsia="sk-SK"/>
              </w:rPr>
              <w:t>432 511</w:t>
            </w:r>
          </w:p>
        </w:tc>
        <w:tc>
          <w:tcPr>
            <w:tcW w:w="1014"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jc w:val="right"/>
              <w:rPr>
                <w:rFonts w:ascii="Calibri" w:hAnsi="Calibri"/>
                <w:b/>
                <w:b/>
                <w:sz w:val="20"/>
                <w:szCs w:val="20"/>
              </w:rPr>
            </w:pPr>
            <w:r>
              <w:rPr>
                <w:rFonts w:eastAsia="Times New Roman" w:cs="Calibri" w:ascii="Calibri" w:hAnsi="Calibri"/>
                <w:b/>
                <w:bCs/>
                <w:color w:val="000000"/>
                <w:sz w:val="20"/>
                <w:szCs w:val="20"/>
                <w:lang w:eastAsia="sk-SK"/>
              </w:rPr>
              <w:t>447 711</w:t>
            </w:r>
          </w:p>
        </w:tc>
        <w:tc>
          <w:tcPr>
            <w:tcW w:w="891"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jc w:val="right"/>
              <w:rPr>
                <w:rFonts w:ascii="Calibri" w:hAnsi="Calibri"/>
                <w:b/>
                <w:b/>
                <w:sz w:val="20"/>
                <w:szCs w:val="20"/>
              </w:rPr>
            </w:pPr>
            <w:r>
              <w:rPr>
                <w:rFonts w:eastAsia="Times New Roman" w:cs="Calibri" w:ascii="Calibri" w:hAnsi="Calibri"/>
                <w:b/>
                <w:bCs/>
                <w:color w:val="000000"/>
                <w:sz w:val="20"/>
                <w:szCs w:val="20"/>
                <w:lang w:eastAsia="sk-SK"/>
              </w:rPr>
              <w:t>466 505</w:t>
            </w:r>
          </w:p>
        </w:tc>
        <w:tc>
          <w:tcPr>
            <w:tcW w:w="888"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jc w:val="right"/>
              <w:rPr>
                <w:rFonts w:ascii="Calibri" w:hAnsi="Calibri"/>
                <w:b/>
                <w:b/>
                <w:sz w:val="20"/>
                <w:szCs w:val="20"/>
              </w:rPr>
            </w:pPr>
            <w:r>
              <w:rPr>
                <w:rFonts w:eastAsia="Times New Roman" w:cs="Calibri" w:ascii="Calibri" w:hAnsi="Calibri"/>
                <w:b/>
                <w:bCs/>
                <w:color w:val="000000"/>
                <w:sz w:val="20"/>
                <w:szCs w:val="20"/>
                <w:lang w:eastAsia="sk-SK"/>
              </w:rPr>
              <w:t>770 797</w:t>
            </w:r>
          </w:p>
        </w:tc>
        <w:tc>
          <w:tcPr>
            <w:tcW w:w="1035"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jc w:val="right"/>
              <w:rPr>
                <w:rFonts w:ascii="Calibri" w:hAnsi="Calibri"/>
                <w:b/>
                <w:b/>
                <w:sz w:val="20"/>
                <w:szCs w:val="20"/>
              </w:rPr>
            </w:pPr>
            <w:r>
              <w:rPr>
                <w:rFonts w:eastAsia="Times New Roman" w:cs="Calibri" w:ascii="Calibri" w:hAnsi="Calibri"/>
                <w:b/>
                <w:bCs/>
                <w:color w:val="000000"/>
                <w:sz w:val="20"/>
                <w:szCs w:val="20"/>
                <w:lang w:eastAsia="sk-SK"/>
              </w:rPr>
              <w:t>3 296 500</w:t>
            </w:r>
          </w:p>
        </w:tc>
        <w:tc>
          <w:tcPr>
            <w:tcW w:w="988"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jc w:val="right"/>
              <w:rPr>
                <w:rFonts w:ascii="Calibri" w:hAnsi="Calibri"/>
                <w:b/>
                <w:b/>
                <w:sz w:val="20"/>
                <w:szCs w:val="20"/>
              </w:rPr>
            </w:pPr>
            <w:r>
              <w:rPr>
                <w:rFonts w:eastAsia="Times New Roman" w:cs="Calibri" w:ascii="Calibri" w:hAnsi="Calibri"/>
                <w:b/>
                <w:bCs/>
                <w:color w:val="000000"/>
                <w:sz w:val="20"/>
                <w:szCs w:val="20"/>
                <w:lang w:eastAsia="sk-SK"/>
              </w:rPr>
              <w:t>1 057 500</w:t>
            </w:r>
          </w:p>
        </w:tc>
        <w:tc>
          <w:tcPr>
            <w:tcW w:w="863" w:type="dxa"/>
            <w:tcBorders>
              <w:top w:val="single" w:sz="4" w:space="0" w:color="000000"/>
              <w:left w:val="single" w:sz="4" w:space="0" w:color="000000"/>
              <w:bottom w:val="single" w:sz="4" w:space="0" w:color="000000"/>
              <w:right w:val="single" w:sz="4" w:space="0" w:color="000000"/>
            </w:tcBorders>
            <w:shd w:color="auto" w:fill="A1E7FD" w:val="clear"/>
            <w:vAlign w:val="center"/>
          </w:tcPr>
          <w:p>
            <w:pPr>
              <w:pStyle w:val="Normal"/>
              <w:spacing w:lineRule="auto" w:line="240" w:before="0" w:after="0"/>
              <w:jc w:val="right"/>
              <w:rPr>
                <w:rFonts w:ascii="Calibri" w:hAnsi="Calibri"/>
                <w:b/>
                <w:b/>
                <w:sz w:val="20"/>
                <w:szCs w:val="20"/>
              </w:rPr>
            </w:pPr>
            <w:r>
              <w:rPr>
                <w:rFonts w:eastAsia="Times New Roman" w:cs="Calibri" w:ascii="Calibri" w:hAnsi="Calibri"/>
                <w:b/>
                <w:bCs/>
                <w:color w:val="000000"/>
                <w:sz w:val="20"/>
                <w:szCs w:val="20"/>
                <w:lang w:eastAsia="sk-SK"/>
              </w:rPr>
              <w:t>704 500</w:t>
            </w:r>
          </w:p>
        </w:tc>
      </w:tr>
      <w:tr>
        <w:trPr>
          <w:trHeight w:val="181" w:hRule="atLeast"/>
        </w:trPr>
        <w:tc>
          <w:tcPr>
            <w:tcW w:w="3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sz w:val="20"/>
                <w:szCs w:val="20"/>
              </w:rPr>
            </w:pPr>
            <w:r>
              <w:rPr>
                <w:rFonts w:eastAsia="Times New Roman" w:cs="Calibri" w:ascii="Calibri" w:hAnsi="Calibri"/>
                <w:color w:val="000000"/>
                <w:sz w:val="20"/>
                <w:szCs w:val="20"/>
                <w:lang w:eastAsia="sk-SK"/>
              </w:rPr>
              <w:t>Príjmy - z rozpočtu zriaďovateľov</w:t>
            </w:r>
          </w:p>
        </w:tc>
        <w:tc>
          <w:tcPr>
            <w:tcW w:w="8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291 768</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295 970</w:t>
            </w:r>
          </w:p>
        </w:tc>
        <w:tc>
          <w:tcPr>
            <w:tcW w:w="8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302 889</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613 297</w:t>
            </w:r>
          </w:p>
        </w:tc>
        <w:tc>
          <w:tcPr>
            <w:tcW w:w="1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650 000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400 000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502 000</w:t>
            </w:r>
          </w:p>
        </w:tc>
      </w:tr>
      <w:tr>
        <w:trPr>
          <w:trHeight w:val="370" w:hRule="atLeast"/>
        </w:trPr>
        <w:tc>
          <w:tcPr>
            <w:tcW w:w="30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rPr>
                <w:rFonts w:ascii="Calibri" w:hAnsi="Calibri"/>
                <w:sz w:val="20"/>
                <w:szCs w:val="20"/>
              </w:rPr>
            </w:pPr>
            <w:r>
              <w:rPr>
                <w:rFonts w:eastAsia="Times New Roman" w:cs="Calibri" w:ascii="Calibri" w:hAnsi="Calibri"/>
                <w:color w:val="000000"/>
                <w:sz w:val="20"/>
                <w:szCs w:val="20"/>
                <w:lang w:eastAsia="sk-SK"/>
              </w:rPr>
              <w:t>Príjmy - za poskytované sociálne služby</w:t>
            </w:r>
          </w:p>
        </w:tc>
        <w:tc>
          <w:tcPr>
            <w:tcW w:w="8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139 383</w:t>
            </w:r>
          </w:p>
        </w:tc>
        <w:tc>
          <w:tcPr>
            <w:tcW w:w="10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147 401</w:t>
            </w:r>
          </w:p>
        </w:tc>
        <w:tc>
          <w:tcPr>
            <w:tcW w:w="8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162 099</w:t>
            </w:r>
          </w:p>
        </w:tc>
        <w:tc>
          <w:tcPr>
            <w:tcW w:w="8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157 500</w:t>
            </w:r>
          </w:p>
        </w:tc>
        <w:tc>
          <w:tcPr>
            <w:tcW w:w="10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157 500</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157 500</w:t>
            </w:r>
          </w:p>
        </w:tc>
        <w:tc>
          <w:tcPr>
            <w:tcW w:w="8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157 500</w:t>
            </w:r>
          </w:p>
        </w:tc>
      </w:tr>
      <w:tr>
        <w:trPr>
          <w:trHeight w:val="485" w:hRule="atLeast"/>
        </w:trPr>
        <w:tc>
          <w:tcPr>
            <w:tcW w:w="3071" w:type="dxa"/>
            <w:tcBorders>
              <w:top w:val="single" w:sz="4" w:space="0" w:color="000000"/>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rPr>
                <w:rFonts w:ascii="Calibri" w:hAnsi="Calibri"/>
                <w:sz w:val="20"/>
                <w:szCs w:val="20"/>
              </w:rPr>
            </w:pPr>
            <w:r>
              <w:rPr>
                <w:rFonts w:eastAsia="Times New Roman" w:cs="Calibri" w:ascii="Calibri" w:hAnsi="Calibri"/>
                <w:color w:val="000000"/>
                <w:sz w:val="20"/>
                <w:szCs w:val="20"/>
                <w:lang w:eastAsia="sk-SK"/>
              </w:rPr>
              <w:t>Prijaté dary a príspevky</w:t>
            </w:r>
          </w:p>
        </w:tc>
        <w:tc>
          <w:tcPr>
            <w:tcW w:w="841" w:type="dxa"/>
            <w:tcBorders>
              <w:top w:val="single" w:sz="4" w:space="0" w:color="000000"/>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1 487</w:t>
            </w:r>
          </w:p>
        </w:tc>
        <w:tc>
          <w:tcPr>
            <w:tcW w:w="1014" w:type="dxa"/>
            <w:tcBorders>
              <w:top w:val="single" w:sz="4" w:space="0" w:color="000000"/>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1 370</w:t>
            </w:r>
          </w:p>
        </w:tc>
        <w:tc>
          <w:tcPr>
            <w:tcW w:w="891" w:type="dxa"/>
            <w:tcBorders>
              <w:top w:val="single" w:sz="4" w:space="0" w:color="000000"/>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right"/>
              <w:rPr>
                <w:rFonts w:ascii="Calibri" w:hAnsi="Calibri" w:eastAsia="Times New Roman" w:cs="Calibri"/>
                <w:color w:val="000000"/>
                <w:sz w:val="20"/>
                <w:szCs w:val="20"/>
                <w:lang w:eastAsia="sk-SK"/>
              </w:rPr>
            </w:pPr>
            <w:r>
              <w:rPr>
                <w:rFonts w:eastAsia="Times New Roman" w:cs="Calibri" w:ascii="Calibri" w:hAnsi="Calibri"/>
                <w:color w:val="000000"/>
                <w:sz w:val="20"/>
                <w:szCs w:val="20"/>
                <w:lang w:eastAsia="sk-SK"/>
              </w:rPr>
            </w:r>
          </w:p>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1 517</w:t>
            </w:r>
          </w:p>
          <w:p>
            <w:pPr>
              <w:pStyle w:val="Normal"/>
              <w:spacing w:lineRule="auto" w:line="240" w:before="0" w:after="0"/>
              <w:jc w:val="right"/>
              <w:rPr>
                <w:rFonts w:ascii="Calibri" w:hAnsi="Calibri" w:eastAsia="Times New Roman" w:cs="Calibri"/>
                <w:color w:val="000000"/>
                <w:sz w:val="20"/>
                <w:szCs w:val="20"/>
                <w:lang w:eastAsia="sk-SK"/>
              </w:rPr>
            </w:pPr>
            <w:r>
              <w:rPr>
                <w:rFonts w:eastAsia="Times New Roman" w:cs="Calibri" w:ascii="Calibri" w:hAnsi="Calibri"/>
                <w:color w:val="000000"/>
                <w:sz w:val="20"/>
                <w:szCs w:val="20"/>
                <w:lang w:eastAsia="sk-SK"/>
              </w:rPr>
            </w:r>
          </w:p>
        </w:tc>
        <w:tc>
          <w:tcPr>
            <w:tcW w:w="888" w:type="dxa"/>
            <w:tcBorders>
              <w:top w:val="single" w:sz="4" w:space="0" w:color="000000"/>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4 543</w:t>
            </w:r>
          </w:p>
        </w:tc>
        <w:tc>
          <w:tcPr>
            <w:tcW w:w="1035" w:type="dxa"/>
            <w:tcBorders>
              <w:top w:val="single" w:sz="4" w:space="0" w:color="000000"/>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987</w:t>
            </w:r>
          </w:p>
        </w:tc>
        <w:tc>
          <w:tcPr>
            <w:tcW w:w="988" w:type="dxa"/>
            <w:tcBorders>
              <w:top w:val="single" w:sz="4" w:space="0" w:color="000000"/>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1 807</w:t>
            </w:r>
          </w:p>
        </w:tc>
        <w:tc>
          <w:tcPr>
            <w:tcW w:w="863" w:type="dxa"/>
            <w:tcBorders>
              <w:top w:val="single" w:sz="4" w:space="0" w:color="000000"/>
              <w:left w:val="single" w:sz="4" w:space="0" w:color="000000"/>
              <w:bottom w:val="single" w:sz="8" w:space="0" w:color="000000"/>
              <w:right w:val="single" w:sz="4" w:space="0" w:color="000000"/>
            </w:tcBorders>
            <w:shd w:color="auto" w:fill="auto" w:val="clear"/>
            <w:vAlign w:val="center"/>
          </w:tcPr>
          <w:p>
            <w:pPr>
              <w:pStyle w:val="Normal"/>
              <w:spacing w:lineRule="auto" w:line="240" w:before="0" w:after="0"/>
              <w:jc w:val="right"/>
              <w:rPr>
                <w:rFonts w:ascii="Calibri" w:hAnsi="Calibri"/>
                <w:sz w:val="20"/>
                <w:szCs w:val="20"/>
              </w:rPr>
            </w:pPr>
            <w:r>
              <w:rPr>
                <w:rFonts w:eastAsia="Times New Roman" w:cs="Calibri" w:ascii="Calibri" w:hAnsi="Calibri"/>
                <w:color w:val="000000"/>
                <w:sz w:val="20"/>
                <w:szCs w:val="20"/>
                <w:lang w:eastAsia="sk-SK"/>
              </w:rPr>
              <w:t>0</w:t>
            </w:r>
          </w:p>
        </w:tc>
      </w:tr>
    </w:tbl>
    <w:p>
      <w:pPr>
        <w:pStyle w:val="Normal"/>
        <w:spacing w:before="0" w:after="0"/>
        <w:rPr>
          <w:sz w:val="22"/>
          <w:szCs w:val="22"/>
        </w:rPr>
      </w:pPr>
      <w:r>
        <w:rPr>
          <w:sz w:val="22"/>
          <w:szCs w:val="22"/>
        </w:rPr>
        <w:t xml:space="preserve">Tabuľka 20 Príjmy zariadenia DSS Ladomerská Vieska </w:t>
      </w:r>
    </w:p>
    <w:p>
      <w:pPr>
        <w:pStyle w:val="Normal"/>
        <w:spacing w:before="0" w:after="0"/>
        <w:rPr>
          <w:sz w:val="22"/>
          <w:szCs w:val="22"/>
        </w:rPr>
      </w:pPr>
      <w:r>
        <w:rPr>
          <w:sz w:val="22"/>
          <w:szCs w:val="22"/>
        </w:rPr>
      </w:r>
    </w:p>
    <w:p>
      <w:pPr>
        <w:pStyle w:val="Normal"/>
        <w:spacing w:before="0" w:after="0"/>
        <w:rPr>
          <w:sz w:val="22"/>
          <w:szCs w:val="22"/>
        </w:rPr>
      </w:pPr>
      <w:r>
        <w:rPr>
          <w:sz w:val="22"/>
          <w:szCs w:val="22"/>
        </w:rPr>
        <w:t xml:space="preserve">Suma bežných predpokladaných výdavkov je stanovená podľa predpokladaných príjmov z rozpočtu zriaďovateľa a príjmov za poskytované sociálne služby pre PSS. </w:t>
      </w:r>
    </w:p>
    <w:p>
      <w:pPr>
        <w:pStyle w:val="Nadpis21"/>
        <w:tabs>
          <w:tab w:val="clear" w:pos="720"/>
          <w:tab w:val="left" w:pos="567" w:leader="none"/>
        </w:tabs>
        <w:spacing w:before="240" w:after="0"/>
        <w:ind w:left="709" w:hanging="0"/>
        <w:contextualSpacing/>
        <w:rPr/>
      </w:pPr>
      <w:bookmarkStart w:id="42" w:name="_Toc71021289"/>
      <w:r>
        <w:rPr/>
        <w:t>9.3. Finančná udržateľnosť transformovaného systému sociálnych služieb</w:t>
      </w:r>
      <w:bookmarkEnd w:id="42"/>
    </w:p>
    <w:p>
      <w:pPr>
        <w:pStyle w:val="Normal"/>
        <w:spacing w:before="0" w:after="0"/>
        <w:rPr/>
      </w:pPr>
      <w:r>
        <w:rPr>
          <w:sz w:val="22"/>
        </w:rPr>
        <w:t>Pre udržanie transformovaného systému nových komunitných sociálnych služieb je potrebné:</w:t>
      </w:r>
    </w:p>
    <w:p>
      <w:pPr>
        <w:pStyle w:val="Odstavecseseznamem1"/>
        <w:numPr>
          <w:ilvl w:val="0"/>
          <w:numId w:val="6"/>
        </w:numPr>
        <w:spacing w:before="0" w:after="0"/>
        <w:ind w:left="709" w:hanging="208"/>
        <w:contextualSpacing/>
        <w:jc w:val="both"/>
        <w:rPr/>
      </w:pPr>
      <w:r>
        <w:rPr>
          <w:sz w:val="22"/>
        </w:rPr>
        <w:t xml:space="preserve">Zabezpečiť financie na zvýšené prevádzkové náklady (tovary a služby, mzdy, odvody)  </w:t>
      </w:r>
    </w:p>
    <w:p>
      <w:pPr>
        <w:pStyle w:val="Odstavecseseznamem1"/>
        <w:numPr>
          <w:ilvl w:val="0"/>
          <w:numId w:val="6"/>
        </w:numPr>
        <w:spacing w:before="0" w:after="0"/>
        <w:ind w:left="709" w:hanging="208"/>
        <w:contextualSpacing/>
        <w:jc w:val="both"/>
        <w:rPr/>
      </w:pPr>
      <w:r>
        <w:rPr>
          <w:sz w:val="22"/>
        </w:rPr>
        <w:t>Pravidelne prehodnocovať potrebnú mieru podpory u prijímateľov – prispôsobovať tomu prevádzku zariadenia</w:t>
      </w:r>
    </w:p>
    <w:p>
      <w:pPr>
        <w:pStyle w:val="Odstavecseseznamem1"/>
        <w:numPr>
          <w:ilvl w:val="0"/>
          <w:numId w:val="6"/>
        </w:numPr>
        <w:spacing w:before="0" w:after="0"/>
        <w:ind w:left="709" w:hanging="208"/>
        <w:contextualSpacing/>
        <w:jc w:val="both"/>
        <w:rPr/>
      </w:pPr>
      <w:r>
        <w:rPr>
          <w:sz w:val="22"/>
        </w:rPr>
        <w:t>Využívať všetky dostupné finančné, materiálne a personálne zdroje v komunite – projektová činnosť, dary, vyhľadávanie donorov, dobrovoľníkov, využívanie aktívnych opatrení ÚPSVR v rámci personálnych zdrojov a pod.</w:t>
      </w:r>
    </w:p>
    <w:p>
      <w:pPr>
        <w:pStyle w:val="Odstavecseseznamem1"/>
        <w:spacing w:before="0" w:after="0"/>
        <w:ind w:left="709" w:hanging="0"/>
        <w:contextualSpacing/>
        <w:jc w:val="both"/>
        <w:rPr/>
      </w:pPr>
      <w:r>
        <w:rPr/>
      </w:r>
    </w:p>
    <w:p>
      <w:pPr>
        <w:pStyle w:val="Odstavecseseznamem1"/>
        <w:tabs>
          <w:tab w:val="clear" w:pos="720"/>
          <w:tab w:val="left" w:pos="1743" w:leader="none"/>
        </w:tabs>
        <w:spacing w:before="0" w:after="0"/>
        <w:ind w:left="0" w:hanging="0"/>
        <w:contextualSpacing/>
        <w:jc w:val="both"/>
        <w:rPr>
          <w:sz w:val="22"/>
        </w:rPr>
      </w:pPr>
      <w:r>
        <w:rPr>
          <w:sz w:val="22"/>
        </w:rPr>
        <w:t>Po ukončení transformácie zariadenia a presťahovaní PSS do nových domácností sa predpokladá zníženie prevádzkových nákladov ročne o cca 34 680 Eur (v súčasnosti sú náklady cca 55 000 Eur ročne), keďže indikatívny rozpočet prevádzkových nákladov podľa tabuľky č. 21 vychádza ročne cca 20 320 Eur.</w:t>
      </w:r>
    </w:p>
    <w:p>
      <w:pPr>
        <w:pStyle w:val="Odstavecseseznamem1"/>
        <w:tabs>
          <w:tab w:val="clear" w:pos="720"/>
          <w:tab w:val="left" w:pos="1743" w:leader="none"/>
        </w:tabs>
        <w:spacing w:before="0" w:after="0"/>
        <w:ind w:left="0" w:hanging="0"/>
        <w:contextualSpacing/>
        <w:jc w:val="both"/>
        <w:rPr>
          <w:sz w:val="22"/>
        </w:rPr>
      </w:pPr>
      <w:r>
        <w:rPr>
          <w:sz w:val="22"/>
        </w:rPr>
      </w:r>
    </w:p>
    <w:tbl>
      <w:tblPr>
        <w:tblW w:w="9180" w:type="dxa"/>
        <w:jc w:val="left"/>
        <w:tblInd w:w="0" w:type="dxa"/>
        <w:tblCellMar>
          <w:top w:w="0" w:type="dxa"/>
          <w:left w:w="108" w:type="dxa"/>
          <w:bottom w:w="0" w:type="dxa"/>
          <w:right w:w="108" w:type="dxa"/>
        </w:tblCellMar>
        <w:tblLook w:val="04a0"/>
      </w:tblPr>
      <w:tblGrid>
        <w:gridCol w:w="327"/>
        <w:gridCol w:w="2783"/>
        <w:gridCol w:w="1390"/>
        <w:gridCol w:w="1526"/>
        <w:gridCol w:w="1581"/>
        <w:gridCol w:w="1572"/>
      </w:tblGrid>
      <w:tr>
        <w:trPr/>
        <w:tc>
          <w:tcPr>
            <w:tcW w:w="9179" w:type="dxa"/>
            <w:gridSpan w:val="6"/>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0"/>
              <w:rPr>
                <w:rFonts w:ascii="Calibri" w:hAnsi="Calibri" w:eastAsia="Arial Unicode MS" w:cs="Arial" w:asciiTheme="minorHAnsi" w:hAnsiTheme="minorHAnsi"/>
                <w:b/>
                <w:b/>
                <w:bCs/>
                <w:sz w:val="16"/>
                <w:szCs w:val="16"/>
              </w:rPr>
            </w:pPr>
            <w:r>
              <w:rPr>
                <w:rFonts w:eastAsia="Arial Unicode MS" w:cs="Arial" w:ascii="Calibri" w:hAnsi="Calibri" w:asciiTheme="minorHAnsi" w:hAnsiTheme="minorHAnsi"/>
                <w:b/>
                <w:bCs/>
                <w:sz w:val="22"/>
                <w:szCs w:val="22"/>
              </w:rPr>
              <w:t>Indikatívny rozpočet prevádzkových nákladov 8 domácností (celkovo 48 prijímateľov)</w:t>
            </w:r>
          </w:p>
        </w:tc>
      </w:tr>
      <w:tr>
        <w:trPr>
          <w:trHeight w:val="849" w:hRule="atLeast"/>
        </w:trPr>
        <w:tc>
          <w:tcPr>
            <w:tcW w:w="3110" w:type="dxa"/>
            <w:gridSpan w:val="2"/>
            <w:tcBorders>
              <w:top w:val="single" w:sz="4" w:space="0" w:color="000000"/>
              <w:left w:val="single" w:sz="4" w:space="0" w:color="000000"/>
              <w:bottom w:val="single" w:sz="4" w:space="0" w:color="000000"/>
              <w:right w:val="single" w:sz="4" w:space="0" w:color="000000"/>
            </w:tcBorders>
            <w:shd w:color="auto" w:fill="8FE2FF" w:val="clear"/>
            <w:vAlign w:val="center"/>
          </w:tcPr>
          <w:p>
            <w:pPr>
              <w:pStyle w:val="Normal"/>
              <w:spacing w:before="0" w:after="200"/>
              <w:jc w:val="both"/>
              <w:rPr>
                <w:rFonts w:ascii="Calibri" w:hAnsi="Calibri" w:eastAsia="Arial Unicode MS" w:cs="Calibri" w:asciiTheme="minorHAnsi" w:hAnsiTheme="minorHAnsi"/>
                <w:b/>
                <w:b/>
                <w:sz w:val="22"/>
                <w:szCs w:val="22"/>
              </w:rPr>
            </w:pPr>
            <w:r>
              <w:rPr>
                <w:rFonts w:eastAsia="Arial Unicode MS" w:cs="Calibri" w:ascii="Calibri" w:hAnsi="Calibri" w:asciiTheme="minorHAnsi" w:hAnsiTheme="minorHAnsi"/>
                <w:b/>
                <w:sz w:val="22"/>
                <w:szCs w:val="22"/>
              </w:rPr>
              <w:t>Položkové náklady</w:t>
            </w:r>
          </w:p>
        </w:tc>
        <w:tc>
          <w:tcPr>
            <w:tcW w:w="1390" w:type="dxa"/>
            <w:tcBorders>
              <w:top w:val="single" w:sz="4" w:space="0" w:color="000000"/>
              <w:left w:val="single" w:sz="4" w:space="0" w:color="000000"/>
              <w:bottom w:val="single" w:sz="4" w:space="0" w:color="000000"/>
              <w:right w:val="single" w:sz="4" w:space="0" w:color="000000"/>
            </w:tcBorders>
            <w:shd w:color="auto" w:fill="8FE2FF" w:val="clear"/>
            <w:vAlign w:val="center"/>
          </w:tcPr>
          <w:p>
            <w:pPr>
              <w:pStyle w:val="Normal"/>
              <w:spacing w:lineRule="auto" w:line="240" w:before="0" w:after="0"/>
              <w:jc w:val="center"/>
              <w:rPr>
                <w:rFonts w:ascii="Calibri" w:hAnsi="Calibri" w:eastAsia="Arial Unicode MS" w:cs="Calibri" w:asciiTheme="minorHAnsi" w:hAnsiTheme="minorHAnsi"/>
                <w:b/>
                <w:b/>
                <w:bCs/>
                <w:sz w:val="22"/>
                <w:szCs w:val="22"/>
              </w:rPr>
            </w:pPr>
            <w:r>
              <w:rPr>
                <w:rFonts w:eastAsia="Arial Unicode MS" w:cs="Calibri" w:ascii="Calibri" w:hAnsi="Calibri" w:asciiTheme="minorHAnsi" w:hAnsiTheme="minorHAnsi"/>
                <w:b/>
                <w:bCs/>
                <w:sz w:val="22"/>
                <w:szCs w:val="22"/>
              </w:rPr>
              <w:t>1 domácnosť (6 PSS) /mesačne Eur</w:t>
            </w:r>
          </w:p>
        </w:tc>
        <w:tc>
          <w:tcPr>
            <w:tcW w:w="1526" w:type="dxa"/>
            <w:tcBorders>
              <w:top w:val="single" w:sz="4" w:space="0" w:color="000000"/>
              <w:left w:val="single" w:sz="4" w:space="0" w:color="000000"/>
              <w:bottom w:val="single" w:sz="4" w:space="0" w:color="000000"/>
              <w:right w:val="single" w:sz="4" w:space="0" w:color="000000"/>
            </w:tcBorders>
            <w:shd w:color="auto" w:fill="8FE2FF" w:val="clear"/>
            <w:vAlign w:val="center"/>
          </w:tcPr>
          <w:p>
            <w:pPr>
              <w:pStyle w:val="Normal"/>
              <w:spacing w:lineRule="auto" w:line="240" w:before="0" w:after="200"/>
              <w:jc w:val="center"/>
              <w:rPr>
                <w:rFonts w:ascii="Calibri" w:hAnsi="Calibri" w:eastAsia="Arial Unicode MS" w:cs="Calibri" w:asciiTheme="minorHAnsi" w:hAnsiTheme="minorHAnsi"/>
                <w:b/>
                <w:b/>
                <w:bCs/>
                <w:sz w:val="22"/>
                <w:szCs w:val="22"/>
              </w:rPr>
            </w:pPr>
            <w:r>
              <w:rPr>
                <w:rFonts w:eastAsia="Arial Unicode MS" w:cs="Calibri" w:ascii="Calibri" w:hAnsi="Calibri" w:asciiTheme="minorHAnsi" w:hAnsiTheme="minorHAnsi"/>
                <w:b/>
                <w:bCs/>
                <w:sz w:val="22"/>
                <w:szCs w:val="22"/>
              </w:rPr>
              <w:t>8 domácností /mesačne Eur</w:t>
            </w:r>
          </w:p>
        </w:tc>
        <w:tc>
          <w:tcPr>
            <w:tcW w:w="1581" w:type="dxa"/>
            <w:tcBorders>
              <w:top w:val="single" w:sz="4" w:space="0" w:color="000000"/>
              <w:left w:val="single" w:sz="4" w:space="0" w:color="000000"/>
              <w:bottom w:val="single" w:sz="4" w:space="0" w:color="000000"/>
              <w:right w:val="single" w:sz="4" w:space="0" w:color="000000"/>
            </w:tcBorders>
            <w:shd w:color="auto" w:fill="8FE2FF" w:val="clear"/>
            <w:vAlign w:val="center"/>
          </w:tcPr>
          <w:p>
            <w:pPr>
              <w:pStyle w:val="Normal"/>
              <w:spacing w:lineRule="auto" w:line="240" w:before="0" w:after="200"/>
              <w:jc w:val="center"/>
              <w:rPr>
                <w:rFonts w:ascii="Calibri" w:hAnsi="Calibri" w:eastAsia="Arial Unicode MS" w:cs="Calibri" w:asciiTheme="minorHAnsi" w:hAnsiTheme="minorHAnsi"/>
                <w:b/>
                <w:b/>
                <w:bCs/>
                <w:sz w:val="22"/>
                <w:szCs w:val="22"/>
              </w:rPr>
            </w:pPr>
            <w:r>
              <w:rPr>
                <w:rFonts w:eastAsia="Arial Unicode MS" w:cs="Calibri" w:ascii="Calibri" w:hAnsi="Calibri" w:asciiTheme="minorHAnsi" w:hAnsiTheme="minorHAnsi"/>
                <w:b/>
                <w:bCs/>
                <w:sz w:val="22"/>
                <w:szCs w:val="22"/>
              </w:rPr>
              <w:t>1 domácnosť/ ročne v Eur</w:t>
            </w:r>
          </w:p>
        </w:tc>
        <w:tc>
          <w:tcPr>
            <w:tcW w:w="1572" w:type="dxa"/>
            <w:tcBorders>
              <w:top w:val="single" w:sz="4" w:space="0" w:color="000000"/>
              <w:left w:val="single" w:sz="4" w:space="0" w:color="000000"/>
              <w:bottom w:val="single" w:sz="4" w:space="0" w:color="000000"/>
              <w:right w:val="single" w:sz="4" w:space="0" w:color="000000"/>
            </w:tcBorders>
            <w:shd w:color="auto" w:fill="8FE2FF" w:val="clear"/>
            <w:vAlign w:val="center"/>
          </w:tcPr>
          <w:p>
            <w:pPr>
              <w:pStyle w:val="Normal"/>
              <w:spacing w:lineRule="auto" w:line="240" w:before="0" w:after="0"/>
              <w:jc w:val="center"/>
              <w:rPr>
                <w:rFonts w:ascii="Calibri" w:hAnsi="Calibri" w:eastAsia="Arial Unicode MS" w:cs="Calibri" w:asciiTheme="minorHAnsi" w:hAnsiTheme="minorHAnsi"/>
                <w:b/>
                <w:b/>
                <w:bCs/>
                <w:sz w:val="22"/>
                <w:szCs w:val="22"/>
              </w:rPr>
            </w:pPr>
            <w:r>
              <w:rPr>
                <w:rFonts w:eastAsia="Arial Unicode MS" w:cs="Calibri" w:ascii="Calibri" w:hAnsi="Calibri" w:asciiTheme="minorHAnsi" w:hAnsiTheme="minorHAnsi"/>
                <w:b/>
                <w:bCs/>
                <w:sz w:val="22"/>
                <w:szCs w:val="22"/>
              </w:rPr>
              <w:t>8 domácností/ ročne v Eur</w:t>
            </w:r>
          </w:p>
        </w:tc>
      </w:tr>
      <w:tr>
        <w:trPr>
          <w:trHeight w:val="284" w:hRule="exact"/>
        </w:trPr>
        <w:tc>
          <w:tcPr>
            <w:tcW w:w="327"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1</w:t>
            </w:r>
          </w:p>
        </w:tc>
        <w:tc>
          <w:tcPr>
            <w:tcW w:w="27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Vykurovanie domu</w:t>
            </w:r>
          </w:p>
        </w:tc>
        <w:tc>
          <w:tcPr>
            <w:tcW w:w="1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55</w:t>
            </w:r>
          </w:p>
        </w:tc>
        <w:tc>
          <w:tcPr>
            <w:tcW w:w="15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440</w:t>
            </w:r>
          </w:p>
        </w:tc>
        <w:tc>
          <w:tcPr>
            <w:tcW w:w="15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660</w:t>
            </w:r>
          </w:p>
        </w:tc>
        <w:tc>
          <w:tcPr>
            <w:tcW w:w="15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5280</w:t>
            </w:r>
          </w:p>
        </w:tc>
      </w:tr>
      <w:tr>
        <w:trPr>
          <w:trHeight w:val="284" w:hRule="exact"/>
        </w:trPr>
        <w:tc>
          <w:tcPr>
            <w:tcW w:w="327"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2</w:t>
            </w:r>
          </w:p>
        </w:tc>
        <w:tc>
          <w:tcPr>
            <w:tcW w:w="27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Ohrev teplej úžitkovej vody</w:t>
            </w:r>
          </w:p>
        </w:tc>
        <w:tc>
          <w:tcPr>
            <w:tcW w:w="1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45</w:t>
            </w:r>
          </w:p>
        </w:tc>
        <w:tc>
          <w:tcPr>
            <w:tcW w:w="15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360</w:t>
            </w:r>
          </w:p>
        </w:tc>
        <w:tc>
          <w:tcPr>
            <w:tcW w:w="15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540</w:t>
            </w:r>
          </w:p>
        </w:tc>
        <w:tc>
          <w:tcPr>
            <w:tcW w:w="15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4320</w:t>
            </w:r>
          </w:p>
        </w:tc>
      </w:tr>
      <w:tr>
        <w:trPr>
          <w:trHeight w:val="284" w:hRule="exact"/>
        </w:trPr>
        <w:tc>
          <w:tcPr>
            <w:tcW w:w="327"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3</w:t>
            </w:r>
          </w:p>
        </w:tc>
        <w:tc>
          <w:tcPr>
            <w:tcW w:w="27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Elektrická energia</w:t>
            </w:r>
          </w:p>
        </w:tc>
        <w:tc>
          <w:tcPr>
            <w:tcW w:w="1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40</w:t>
            </w:r>
          </w:p>
        </w:tc>
        <w:tc>
          <w:tcPr>
            <w:tcW w:w="15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320</w:t>
            </w:r>
          </w:p>
        </w:tc>
        <w:tc>
          <w:tcPr>
            <w:tcW w:w="15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480</w:t>
            </w:r>
          </w:p>
        </w:tc>
        <w:tc>
          <w:tcPr>
            <w:tcW w:w="15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3840</w:t>
            </w:r>
          </w:p>
        </w:tc>
      </w:tr>
      <w:tr>
        <w:trPr>
          <w:trHeight w:val="284" w:hRule="exact"/>
        </w:trPr>
        <w:tc>
          <w:tcPr>
            <w:tcW w:w="327"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4</w:t>
            </w:r>
          </w:p>
        </w:tc>
        <w:tc>
          <w:tcPr>
            <w:tcW w:w="27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Vodné a stočné</w:t>
            </w:r>
          </w:p>
        </w:tc>
        <w:tc>
          <w:tcPr>
            <w:tcW w:w="1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40</w:t>
            </w:r>
          </w:p>
        </w:tc>
        <w:tc>
          <w:tcPr>
            <w:tcW w:w="15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320</w:t>
            </w:r>
          </w:p>
        </w:tc>
        <w:tc>
          <w:tcPr>
            <w:tcW w:w="15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480</w:t>
            </w:r>
          </w:p>
        </w:tc>
        <w:tc>
          <w:tcPr>
            <w:tcW w:w="15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3840</w:t>
            </w:r>
          </w:p>
        </w:tc>
      </w:tr>
      <w:tr>
        <w:trPr>
          <w:trHeight w:val="284" w:hRule="exact"/>
        </w:trPr>
        <w:tc>
          <w:tcPr>
            <w:tcW w:w="327"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5</w:t>
            </w:r>
          </w:p>
        </w:tc>
        <w:tc>
          <w:tcPr>
            <w:tcW w:w="27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Likvidácia odpadu</w:t>
            </w:r>
          </w:p>
        </w:tc>
        <w:tc>
          <w:tcPr>
            <w:tcW w:w="1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10</w:t>
            </w:r>
          </w:p>
        </w:tc>
        <w:tc>
          <w:tcPr>
            <w:tcW w:w="15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80</w:t>
            </w:r>
          </w:p>
        </w:tc>
        <w:tc>
          <w:tcPr>
            <w:tcW w:w="15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120</w:t>
            </w:r>
          </w:p>
        </w:tc>
        <w:tc>
          <w:tcPr>
            <w:tcW w:w="15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960</w:t>
            </w:r>
          </w:p>
        </w:tc>
      </w:tr>
      <w:tr>
        <w:trPr>
          <w:trHeight w:val="284" w:hRule="exact"/>
        </w:trPr>
        <w:tc>
          <w:tcPr>
            <w:tcW w:w="327"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6</w:t>
            </w:r>
          </w:p>
        </w:tc>
        <w:tc>
          <w:tcPr>
            <w:tcW w:w="27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Pozemková daň</w:t>
            </w:r>
          </w:p>
        </w:tc>
        <w:tc>
          <w:tcPr>
            <w:tcW w:w="1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2</w:t>
            </w:r>
          </w:p>
        </w:tc>
        <w:tc>
          <w:tcPr>
            <w:tcW w:w="15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16</w:t>
            </w:r>
          </w:p>
        </w:tc>
        <w:tc>
          <w:tcPr>
            <w:tcW w:w="15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24</w:t>
            </w:r>
          </w:p>
        </w:tc>
        <w:tc>
          <w:tcPr>
            <w:tcW w:w="15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192</w:t>
            </w:r>
          </w:p>
        </w:tc>
      </w:tr>
      <w:tr>
        <w:trPr>
          <w:trHeight w:val="284" w:hRule="exact"/>
        </w:trPr>
        <w:tc>
          <w:tcPr>
            <w:tcW w:w="327"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7</w:t>
            </w:r>
          </w:p>
        </w:tc>
        <w:tc>
          <w:tcPr>
            <w:tcW w:w="27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Daň z nehnuteľnosti</w:t>
            </w:r>
          </w:p>
        </w:tc>
        <w:tc>
          <w:tcPr>
            <w:tcW w:w="1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3</w:t>
            </w:r>
          </w:p>
        </w:tc>
        <w:tc>
          <w:tcPr>
            <w:tcW w:w="15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24</w:t>
            </w:r>
          </w:p>
        </w:tc>
        <w:tc>
          <w:tcPr>
            <w:tcW w:w="15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36</w:t>
            </w:r>
          </w:p>
        </w:tc>
        <w:tc>
          <w:tcPr>
            <w:tcW w:w="15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288</w:t>
            </w:r>
          </w:p>
        </w:tc>
      </w:tr>
      <w:tr>
        <w:trPr>
          <w:trHeight w:val="284" w:hRule="exact"/>
        </w:trPr>
        <w:tc>
          <w:tcPr>
            <w:tcW w:w="327"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8</w:t>
            </w:r>
          </w:p>
        </w:tc>
        <w:tc>
          <w:tcPr>
            <w:tcW w:w="2783"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200"/>
              <w:jc w:val="both"/>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Revízie</w:t>
            </w:r>
          </w:p>
        </w:tc>
        <w:tc>
          <w:tcPr>
            <w:tcW w:w="13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x</w:t>
            </w:r>
          </w:p>
        </w:tc>
        <w:tc>
          <w:tcPr>
            <w:tcW w:w="152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x</w:t>
            </w:r>
          </w:p>
        </w:tc>
        <w:tc>
          <w:tcPr>
            <w:tcW w:w="15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200</w:t>
            </w:r>
          </w:p>
        </w:tc>
        <w:tc>
          <w:tcPr>
            <w:tcW w:w="15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200"/>
              <w:jc w:val="right"/>
              <w:rPr>
                <w:rFonts w:ascii="Calibri" w:hAnsi="Calibri" w:eastAsia="Arial Unicode MS" w:cs="Calibri" w:asciiTheme="minorHAnsi" w:hAnsiTheme="minorHAnsi"/>
                <w:sz w:val="22"/>
                <w:szCs w:val="22"/>
              </w:rPr>
            </w:pPr>
            <w:r>
              <w:rPr>
                <w:rFonts w:eastAsia="Arial Unicode MS" w:cs="Calibri" w:ascii="Calibri" w:hAnsi="Calibri" w:asciiTheme="minorHAnsi" w:hAnsiTheme="minorHAnsi"/>
                <w:sz w:val="22"/>
                <w:szCs w:val="22"/>
              </w:rPr>
              <w:t>1600</w:t>
            </w:r>
          </w:p>
        </w:tc>
      </w:tr>
      <w:tr>
        <w:trPr>
          <w:trHeight w:val="284" w:hRule="exact"/>
        </w:trPr>
        <w:tc>
          <w:tcPr>
            <w:tcW w:w="3110" w:type="dxa"/>
            <w:gridSpan w:val="2"/>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both"/>
              <w:rPr>
                <w:rFonts w:ascii="Calibri" w:hAnsi="Calibri" w:eastAsia="Arial Unicode MS" w:cs="Calibri" w:asciiTheme="minorHAnsi" w:hAnsiTheme="minorHAnsi"/>
                <w:b/>
                <w:b/>
                <w:sz w:val="22"/>
                <w:szCs w:val="22"/>
              </w:rPr>
            </w:pPr>
            <w:r>
              <w:rPr>
                <w:rFonts w:eastAsia="Arial Unicode MS" w:cs="Calibri" w:ascii="Calibri" w:hAnsi="Calibri" w:asciiTheme="minorHAnsi" w:hAnsiTheme="minorHAnsi"/>
                <w:b/>
                <w:sz w:val="22"/>
                <w:szCs w:val="22"/>
              </w:rPr>
              <w:t>Spolu</w:t>
            </w:r>
          </w:p>
        </w:tc>
        <w:tc>
          <w:tcPr>
            <w:tcW w:w="1390" w:type="dxa"/>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right"/>
              <w:rPr>
                <w:rFonts w:ascii="Calibri" w:hAnsi="Calibri" w:eastAsia="Arial Unicode MS" w:cs="Calibri" w:asciiTheme="minorHAnsi" w:hAnsiTheme="minorHAnsi"/>
                <w:b/>
                <w:b/>
                <w:sz w:val="22"/>
                <w:szCs w:val="22"/>
              </w:rPr>
            </w:pPr>
            <w:r>
              <w:rPr>
                <w:rFonts w:eastAsia="Arial Unicode MS" w:cs="Calibri" w:ascii="Calibri" w:hAnsi="Calibri" w:asciiTheme="minorHAnsi" w:hAnsiTheme="minorHAnsi"/>
                <w:b/>
                <w:sz w:val="22"/>
                <w:szCs w:val="22"/>
              </w:rPr>
              <w:t>195</w:t>
            </w:r>
          </w:p>
        </w:tc>
        <w:tc>
          <w:tcPr>
            <w:tcW w:w="1526" w:type="dxa"/>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right"/>
              <w:rPr>
                <w:rFonts w:ascii="Calibri" w:hAnsi="Calibri" w:eastAsia="Arial Unicode MS" w:cs="Calibri" w:asciiTheme="minorHAnsi" w:hAnsiTheme="minorHAnsi"/>
                <w:b/>
                <w:b/>
                <w:sz w:val="22"/>
                <w:szCs w:val="22"/>
              </w:rPr>
            </w:pPr>
            <w:r>
              <w:rPr>
                <w:rFonts w:eastAsia="Arial Unicode MS" w:cs="Calibri" w:ascii="Calibri" w:hAnsi="Calibri" w:asciiTheme="minorHAnsi" w:hAnsiTheme="minorHAnsi"/>
                <w:b/>
                <w:sz w:val="22"/>
                <w:szCs w:val="22"/>
              </w:rPr>
              <w:t>1560</w:t>
            </w:r>
          </w:p>
        </w:tc>
        <w:tc>
          <w:tcPr>
            <w:tcW w:w="1581" w:type="dxa"/>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right"/>
              <w:rPr>
                <w:rFonts w:ascii="Calibri" w:hAnsi="Calibri" w:eastAsia="Arial Unicode MS" w:cs="Calibri" w:asciiTheme="minorHAnsi" w:hAnsiTheme="minorHAnsi"/>
                <w:b/>
                <w:b/>
                <w:sz w:val="22"/>
                <w:szCs w:val="22"/>
              </w:rPr>
            </w:pPr>
            <w:r>
              <w:rPr>
                <w:rFonts w:eastAsia="Arial Unicode MS" w:cs="Calibri" w:ascii="Calibri" w:hAnsi="Calibri" w:asciiTheme="minorHAnsi" w:hAnsiTheme="minorHAnsi"/>
                <w:b/>
                <w:sz w:val="22"/>
                <w:szCs w:val="22"/>
              </w:rPr>
              <w:t>2540</w:t>
            </w:r>
          </w:p>
        </w:tc>
        <w:tc>
          <w:tcPr>
            <w:tcW w:w="1572" w:type="dxa"/>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right"/>
              <w:rPr>
                <w:rFonts w:ascii="Calibri" w:hAnsi="Calibri" w:eastAsia="Arial Unicode MS" w:cs="Calibri" w:asciiTheme="minorHAnsi" w:hAnsiTheme="minorHAnsi"/>
                <w:b/>
                <w:b/>
                <w:sz w:val="22"/>
                <w:szCs w:val="22"/>
              </w:rPr>
            </w:pPr>
            <w:r>
              <w:rPr>
                <w:rFonts w:eastAsia="Arial Unicode MS" w:cs="Calibri" w:ascii="Calibri" w:hAnsi="Calibri" w:asciiTheme="minorHAnsi" w:hAnsiTheme="minorHAnsi"/>
                <w:b/>
                <w:sz w:val="22"/>
                <w:szCs w:val="22"/>
              </w:rPr>
              <w:t>20320</w:t>
            </w:r>
          </w:p>
        </w:tc>
      </w:tr>
      <w:tr>
        <w:trPr>
          <w:trHeight w:val="284" w:hRule="exact"/>
        </w:trPr>
        <w:tc>
          <w:tcPr>
            <w:tcW w:w="3110" w:type="dxa"/>
            <w:gridSpan w:val="2"/>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both"/>
              <w:rPr>
                <w:rFonts w:ascii="Calibri" w:hAnsi="Calibri" w:eastAsia="Arial Unicode MS" w:cs="Calibri" w:asciiTheme="minorHAnsi" w:hAnsiTheme="minorHAnsi"/>
                <w:b/>
                <w:b/>
                <w:sz w:val="22"/>
                <w:szCs w:val="22"/>
              </w:rPr>
            </w:pPr>
            <w:r>
              <w:rPr>
                <w:rFonts w:eastAsia="Arial Unicode MS" w:cs="Calibri" w:ascii="Calibri" w:hAnsi="Calibri" w:asciiTheme="minorHAnsi" w:hAnsiTheme="minorHAnsi"/>
                <w:b/>
                <w:sz w:val="22"/>
                <w:szCs w:val="22"/>
              </w:rPr>
              <w:t xml:space="preserve">Priemer na 1 prijímateľa </w:t>
            </w:r>
          </w:p>
        </w:tc>
        <w:tc>
          <w:tcPr>
            <w:tcW w:w="1390" w:type="dxa"/>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right"/>
              <w:rPr>
                <w:rFonts w:ascii="Calibri" w:hAnsi="Calibri" w:eastAsia="Arial Unicode MS" w:cs="Calibri" w:asciiTheme="minorHAnsi" w:hAnsiTheme="minorHAnsi"/>
                <w:b/>
                <w:b/>
                <w:sz w:val="22"/>
                <w:szCs w:val="22"/>
              </w:rPr>
            </w:pPr>
            <w:r>
              <w:rPr>
                <w:rFonts w:eastAsia="Arial Unicode MS" w:cs="Calibri" w:ascii="Calibri" w:hAnsi="Calibri" w:asciiTheme="minorHAnsi" w:hAnsiTheme="minorHAnsi"/>
                <w:b/>
                <w:sz w:val="22"/>
                <w:szCs w:val="22"/>
              </w:rPr>
              <w:t>32,5</w:t>
            </w:r>
          </w:p>
        </w:tc>
        <w:tc>
          <w:tcPr>
            <w:tcW w:w="1526" w:type="dxa"/>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right"/>
              <w:rPr>
                <w:rFonts w:ascii="Calibri" w:hAnsi="Calibri" w:eastAsia="Arial Unicode MS" w:cs="Calibri" w:asciiTheme="minorHAnsi" w:hAnsiTheme="minorHAnsi"/>
                <w:b/>
                <w:b/>
                <w:sz w:val="22"/>
                <w:szCs w:val="22"/>
              </w:rPr>
            </w:pPr>
            <w:r>
              <w:rPr>
                <w:rFonts w:eastAsia="Arial Unicode MS" w:cs="Calibri" w:ascii="Calibri" w:hAnsi="Calibri"/>
                <w:b/>
                <w:sz w:val="22"/>
                <w:szCs w:val="22"/>
              </w:rPr>
            </w:r>
          </w:p>
        </w:tc>
        <w:tc>
          <w:tcPr>
            <w:tcW w:w="1581" w:type="dxa"/>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right"/>
              <w:rPr>
                <w:rFonts w:ascii="Calibri" w:hAnsi="Calibri" w:eastAsia="Arial Unicode MS" w:cs="Calibri" w:asciiTheme="minorHAnsi" w:hAnsiTheme="minorHAnsi"/>
                <w:b/>
                <w:b/>
                <w:sz w:val="22"/>
                <w:szCs w:val="22"/>
              </w:rPr>
            </w:pPr>
            <w:r>
              <w:rPr>
                <w:rFonts w:eastAsia="Arial Unicode MS" w:cs="Calibri" w:ascii="Calibri" w:hAnsi="Calibri" w:asciiTheme="minorHAnsi" w:hAnsiTheme="minorHAnsi"/>
                <w:b/>
                <w:sz w:val="22"/>
                <w:szCs w:val="22"/>
              </w:rPr>
              <w:t>423,33</w:t>
            </w:r>
          </w:p>
        </w:tc>
        <w:tc>
          <w:tcPr>
            <w:tcW w:w="1572" w:type="dxa"/>
            <w:tcBorders>
              <w:top w:val="single" w:sz="4" w:space="0" w:color="000000"/>
              <w:left w:val="single" w:sz="4" w:space="0" w:color="000000"/>
              <w:bottom w:val="single" w:sz="4" w:space="0" w:color="000000"/>
              <w:right w:val="single" w:sz="4" w:space="0" w:color="000000"/>
            </w:tcBorders>
            <w:shd w:color="auto" w:fill="8FE2FF" w:val="clear"/>
          </w:tcPr>
          <w:p>
            <w:pPr>
              <w:pStyle w:val="Normal"/>
              <w:spacing w:before="0" w:after="200"/>
              <w:jc w:val="right"/>
              <w:rPr>
                <w:rFonts w:ascii="Calibri" w:hAnsi="Calibri" w:eastAsia="Arial Unicode MS" w:cs="Calibri" w:asciiTheme="minorHAnsi" w:hAnsiTheme="minorHAnsi"/>
                <w:b/>
                <w:b/>
                <w:sz w:val="22"/>
                <w:szCs w:val="22"/>
              </w:rPr>
            </w:pPr>
            <w:r>
              <w:rPr>
                <w:rFonts w:eastAsia="Arial Unicode MS" w:cs="Calibri" w:ascii="Calibri" w:hAnsi="Calibri"/>
                <w:b/>
                <w:sz w:val="22"/>
                <w:szCs w:val="22"/>
              </w:rPr>
            </w:r>
          </w:p>
        </w:tc>
      </w:tr>
    </w:tbl>
    <w:p>
      <w:pPr>
        <w:pStyle w:val="Normal"/>
        <w:rPr>
          <w:sz w:val="22"/>
          <w:szCs w:val="22"/>
        </w:rPr>
      </w:pPr>
      <w:r>
        <w:rPr>
          <w:sz w:val="22"/>
          <w:szCs w:val="22"/>
        </w:rPr>
        <w:t xml:space="preserve">Tabuľka 21 Indikatívny rozpočet prevádzkových nákladov domácností (po úplnej transformácii). Poznámka: nízkoenergetický štandard A0 so spotrebou energie na vykurovanie menej než 30 kWh/m2 za rok. </w:t>
      </w:r>
    </w:p>
    <w:p>
      <w:pPr>
        <w:pStyle w:val="Nadpis11"/>
        <w:rPr/>
      </w:pPr>
      <w:bookmarkStart w:id="43" w:name="_Toc71021290"/>
      <w:r>
        <w:rPr>
          <w:rStyle w:val="Odkazintenzivn1"/>
          <w:b/>
          <w:bCs w:val="false"/>
          <w:caps w:val="false"/>
          <w:smallCaps w:val="false"/>
          <w:color w:val="2F5496"/>
          <w:spacing w:val="0"/>
        </w:rPr>
        <w:t>10. SEBAHODNOTENIE A  RIZIKÁ</w:t>
      </w:r>
      <w:bookmarkEnd w:id="43"/>
    </w:p>
    <w:p>
      <w:pPr>
        <w:pStyle w:val="Normal"/>
        <w:spacing w:lineRule="atLeast" w:line="22" w:before="0" w:after="200"/>
        <w:contextualSpacing/>
        <w:rPr/>
      </w:pPr>
      <w:r>
        <w:rPr/>
      </w:r>
    </w:p>
    <w:p>
      <w:pPr>
        <w:pStyle w:val="Normal"/>
        <w:spacing w:before="0" w:after="0"/>
        <w:contextualSpacing/>
        <w:jc w:val="both"/>
        <w:rPr>
          <w:sz w:val="22"/>
        </w:rPr>
      </w:pPr>
      <w:r>
        <w:rPr>
          <w:sz w:val="22"/>
        </w:rPr>
        <w:t>V rámci procesu transformácie prebiehajú dôležité zmeny vo viacerých oblastiach. Z pohľadu hodnotenia prebiehajúcich procesov bude vo všetkých etapách realizácie Transformačného plánu prebiehať:</w:t>
      </w:r>
    </w:p>
    <w:p>
      <w:pPr>
        <w:pStyle w:val="Normal"/>
        <w:spacing w:before="0" w:after="0"/>
        <w:contextualSpacing/>
        <w:jc w:val="both"/>
        <w:rPr/>
      </w:pPr>
      <w:r>
        <w:rPr/>
      </w:r>
    </w:p>
    <w:p>
      <w:pPr>
        <w:pStyle w:val="Odstavecseseznamem1"/>
        <w:numPr>
          <w:ilvl w:val="0"/>
          <w:numId w:val="4"/>
        </w:numPr>
        <w:spacing w:before="0" w:after="0"/>
        <w:contextualSpacing/>
        <w:rPr/>
      </w:pPr>
      <w:r>
        <w:rPr>
          <w:sz w:val="22"/>
        </w:rPr>
        <w:t xml:space="preserve">Hodnotenie kvality poskytovaných sociálnych služieb v súlade s prílohou zákona č. 448/2008 Z.z. o sociálnych službách </w:t>
      </w:r>
    </w:p>
    <w:p>
      <w:pPr>
        <w:pStyle w:val="Odstavecseseznamem1"/>
        <w:numPr>
          <w:ilvl w:val="0"/>
          <w:numId w:val="13"/>
        </w:numPr>
        <w:spacing w:before="0" w:after="0"/>
        <w:ind w:left="720" w:firstLine="414"/>
        <w:contextualSpacing/>
        <w:rPr>
          <w:sz w:val="22"/>
        </w:rPr>
      </w:pPr>
      <w:r>
        <w:rPr>
          <w:sz w:val="22"/>
        </w:rPr>
        <w:t>Pri začatí NP DI, rok  2015</w:t>
      </w:r>
    </w:p>
    <w:p>
      <w:pPr>
        <w:pStyle w:val="Odstavecseseznamem1"/>
        <w:numPr>
          <w:ilvl w:val="0"/>
          <w:numId w:val="13"/>
        </w:numPr>
        <w:spacing w:before="0" w:after="0"/>
        <w:ind w:left="720" w:firstLine="414"/>
        <w:contextualSpacing/>
        <w:rPr>
          <w:sz w:val="22"/>
        </w:rPr>
      </w:pPr>
      <w:r>
        <w:rPr>
          <w:sz w:val="22"/>
        </w:rPr>
        <w:t>Po ukončení prvej etapy NP DI</w:t>
      </w:r>
    </w:p>
    <w:p>
      <w:pPr>
        <w:pStyle w:val="Odstavecseseznamem1"/>
        <w:numPr>
          <w:ilvl w:val="0"/>
          <w:numId w:val="13"/>
        </w:numPr>
        <w:spacing w:before="0" w:after="0"/>
        <w:ind w:left="720" w:firstLine="414"/>
        <w:contextualSpacing/>
        <w:rPr>
          <w:sz w:val="22"/>
        </w:rPr>
      </w:pPr>
      <w:r>
        <w:rPr>
          <w:sz w:val="22"/>
        </w:rPr>
        <w:t>Po ukončení investičného projektu a presťahovaní PSS do nových služieb, rok 2023</w:t>
      </w:r>
    </w:p>
    <w:p>
      <w:pPr>
        <w:pStyle w:val="Odstavecseseznamem1"/>
        <w:numPr>
          <w:ilvl w:val="0"/>
          <w:numId w:val="13"/>
        </w:numPr>
        <w:spacing w:before="0" w:after="0"/>
        <w:ind w:left="720" w:firstLine="414"/>
        <w:contextualSpacing/>
        <w:rPr>
          <w:sz w:val="22"/>
        </w:rPr>
      </w:pPr>
      <w:r>
        <w:rPr>
          <w:sz w:val="22"/>
        </w:rPr>
        <w:t xml:space="preserve">Po ukončení stabilizačnej etapy – hodnotenie fungovania v novom systéme služieb v </w:t>
        <w:tab/>
        <w:t>súlade s podmienkami kvality, rok 2023</w:t>
      </w:r>
    </w:p>
    <w:p>
      <w:pPr>
        <w:pStyle w:val="Odstavecseseznamem1"/>
        <w:spacing w:before="0" w:after="0"/>
        <w:ind w:left="1785" w:hanging="0"/>
        <w:contextualSpacing/>
        <w:rPr>
          <w:sz w:val="22"/>
        </w:rPr>
      </w:pPr>
      <w:r>
        <w:rPr>
          <w:sz w:val="22"/>
        </w:rPr>
      </w:r>
    </w:p>
    <w:p>
      <w:pPr>
        <w:pStyle w:val="Odstavecseseznamem1"/>
        <w:numPr>
          <w:ilvl w:val="0"/>
          <w:numId w:val="4"/>
        </w:numPr>
        <w:spacing w:before="0" w:after="0"/>
        <w:contextualSpacing/>
        <w:rPr/>
      </w:pPr>
      <w:r>
        <w:rPr>
          <w:sz w:val="22"/>
        </w:rPr>
        <w:t xml:space="preserve">Hodnotenie efektívneho využívania finančných a personálnych zdrojov </w:t>
      </w:r>
    </w:p>
    <w:p>
      <w:pPr>
        <w:pStyle w:val="Odstavecseseznamem1"/>
        <w:numPr>
          <w:ilvl w:val="0"/>
          <w:numId w:val="13"/>
        </w:numPr>
        <w:spacing w:before="0" w:after="0"/>
        <w:ind w:left="720" w:firstLine="414"/>
        <w:contextualSpacing/>
        <w:rPr>
          <w:sz w:val="22"/>
        </w:rPr>
      </w:pPr>
      <w:r>
        <w:rPr>
          <w:sz w:val="22"/>
        </w:rPr>
        <w:t>V procese transformácie</w:t>
      </w:r>
    </w:p>
    <w:p>
      <w:pPr>
        <w:pStyle w:val="Odstavecseseznamem1"/>
        <w:numPr>
          <w:ilvl w:val="0"/>
          <w:numId w:val="13"/>
        </w:numPr>
        <w:spacing w:before="0" w:after="0"/>
        <w:ind w:left="720" w:firstLine="414"/>
        <w:contextualSpacing/>
        <w:rPr>
          <w:sz w:val="22"/>
        </w:rPr>
      </w:pPr>
      <w:r>
        <w:rPr>
          <w:sz w:val="22"/>
        </w:rPr>
        <w:t xml:space="preserve">V stabilizačnej etape projektu – po ukončení zmien prebehne externý audit, cieľom </w:t>
        <w:tab/>
        <w:t xml:space="preserve">ktorého bude overiť efektívne využitie finančných a personálnych zdrojov v nových </w:t>
        <w:tab/>
        <w:t>službách</w:t>
      </w:r>
    </w:p>
    <w:p>
      <w:pPr>
        <w:pStyle w:val="Odstavecseseznamem1"/>
        <w:spacing w:before="0" w:after="0"/>
        <w:ind w:left="1418" w:hanging="0"/>
        <w:contextualSpacing/>
        <w:rPr>
          <w:sz w:val="22"/>
        </w:rPr>
      </w:pPr>
      <w:r>
        <w:rPr>
          <w:sz w:val="22"/>
        </w:rPr>
      </w:r>
    </w:p>
    <w:p>
      <w:pPr>
        <w:pStyle w:val="Odstavecseseznamem1"/>
        <w:numPr>
          <w:ilvl w:val="0"/>
          <w:numId w:val="4"/>
        </w:numPr>
        <w:spacing w:before="0" w:after="0"/>
        <w:contextualSpacing/>
        <w:rPr/>
      </w:pPr>
      <w:r>
        <w:rPr>
          <w:sz w:val="22"/>
        </w:rPr>
        <w:t>Hodnotenie miery poskytovanej podpory prijímateľom sociálnych služieb – výsledok hodnotenia bude slúžiť ako podklad k nastaveniu individuálnych služieb pre prijímateľov podľa ich aktuálnej potreby, ktorá sa v čase môže meniť smerom k vyššej ale aj nižšej podpore. Hodnotenie prebehne vo všetkých etapách projektu:</w:t>
      </w:r>
    </w:p>
    <w:p>
      <w:pPr>
        <w:pStyle w:val="Odstavecseseznamem1"/>
        <w:numPr>
          <w:ilvl w:val="0"/>
          <w:numId w:val="13"/>
        </w:numPr>
        <w:spacing w:before="0" w:after="0"/>
        <w:ind w:left="720" w:firstLine="414"/>
        <w:contextualSpacing/>
        <w:rPr>
          <w:sz w:val="22"/>
        </w:rPr>
      </w:pPr>
      <w:r>
        <w:rPr>
          <w:sz w:val="22"/>
        </w:rPr>
        <w:t>V prípravnej etape</w:t>
      </w:r>
    </w:p>
    <w:p>
      <w:pPr>
        <w:pStyle w:val="Odstavecseseznamem1"/>
        <w:numPr>
          <w:ilvl w:val="0"/>
          <w:numId w:val="13"/>
        </w:numPr>
        <w:spacing w:before="0" w:after="0"/>
        <w:ind w:left="720" w:firstLine="414"/>
        <w:contextualSpacing/>
        <w:rPr>
          <w:sz w:val="22"/>
        </w:rPr>
      </w:pPr>
      <w:r>
        <w:rPr>
          <w:sz w:val="22"/>
        </w:rPr>
        <w:t>V prechodnej etape</w:t>
      </w:r>
    </w:p>
    <w:p>
      <w:pPr>
        <w:pStyle w:val="Odstavecseseznamem1"/>
        <w:numPr>
          <w:ilvl w:val="0"/>
          <w:numId w:val="13"/>
        </w:numPr>
        <w:spacing w:before="0" w:after="0"/>
        <w:ind w:left="720" w:firstLine="414"/>
        <w:contextualSpacing/>
        <w:rPr/>
      </w:pPr>
      <w:r>
        <w:rPr>
          <w:sz w:val="22"/>
        </w:rPr>
        <w:t>V stabilizačnej etape</w:t>
      </w:r>
    </w:p>
    <w:p>
      <w:pPr>
        <w:pStyle w:val="Odstavecseseznamem1"/>
        <w:spacing w:before="0" w:after="0"/>
        <w:ind w:left="0" w:hanging="0"/>
        <w:contextualSpacing/>
        <w:rPr>
          <w:sz w:val="22"/>
        </w:rPr>
      </w:pPr>
      <w:r>
        <w:rPr>
          <w:sz w:val="22"/>
        </w:rPr>
      </w:r>
    </w:p>
    <w:p>
      <w:pPr>
        <w:pStyle w:val="Odstavecseseznamem1"/>
        <w:spacing w:before="0" w:after="0"/>
        <w:ind w:left="0" w:hanging="0"/>
        <w:contextualSpacing/>
        <w:rPr/>
      </w:pPr>
      <w:r>
        <w:rPr>
          <w:sz w:val="22"/>
        </w:rPr>
        <w:t>Riziká, ktorá tento transformačný plán môžu sprevádzať sú detailne, aj s príčinami a aktivitami na elimináciu, rozpracované v samostatnej Prílohe 13. Identifikovalo sa niekoľko oblastí rizík:</w:t>
      </w:r>
    </w:p>
    <w:p>
      <w:pPr>
        <w:pStyle w:val="Odstavecseseznamem1"/>
        <w:numPr>
          <w:ilvl w:val="0"/>
          <w:numId w:val="13"/>
        </w:numPr>
        <w:spacing w:before="0" w:after="0"/>
        <w:contextualSpacing/>
        <w:rPr/>
      </w:pPr>
      <w:r>
        <w:rPr>
          <w:sz w:val="22"/>
        </w:rPr>
        <w:t>Systémové riziká</w:t>
      </w:r>
    </w:p>
    <w:p>
      <w:pPr>
        <w:pStyle w:val="Odstavecseseznamem1"/>
        <w:numPr>
          <w:ilvl w:val="0"/>
          <w:numId w:val="13"/>
        </w:numPr>
        <w:spacing w:before="0" w:after="0"/>
        <w:contextualSpacing/>
        <w:rPr/>
      </w:pPr>
      <w:r>
        <w:rPr>
          <w:sz w:val="22"/>
        </w:rPr>
        <w:t>Riziká vo vzťahu k zriaďovateľovi</w:t>
      </w:r>
    </w:p>
    <w:p>
      <w:pPr>
        <w:pStyle w:val="Odstavecseseznamem1"/>
        <w:numPr>
          <w:ilvl w:val="0"/>
          <w:numId w:val="13"/>
        </w:numPr>
        <w:spacing w:before="0" w:after="0"/>
        <w:contextualSpacing/>
        <w:rPr/>
      </w:pPr>
      <w:r>
        <w:rPr>
          <w:bCs/>
          <w:sz w:val="22"/>
        </w:rPr>
        <w:t>Riziká vo vzťahu k prijímateľom SS</w:t>
      </w:r>
    </w:p>
    <w:p>
      <w:pPr>
        <w:pStyle w:val="Odstavecseseznamem1"/>
        <w:numPr>
          <w:ilvl w:val="0"/>
          <w:numId w:val="13"/>
        </w:numPr>
        <w:spacing w:before="0" w:after="0"/>
        <w:contextualSpacing/>
        <w:rPr/>
      </w:pPr>
      <w:r>
        <w:rPr>
          <w:bCs/>
          <w:sz w:val="22"/>
        </w:rPr>
        <w:t>Riziká vo vzťahu k  príbuzným prijímateľov SS</w:t>
      </w:r>
    </w:p>
    <w:p>
      <w:pPr>
        <w:pStyle w:val="Odstavecseseznamem1"/>
        <w:numPr>
          <w:ilvl w:val="0"/>
          <w:numId w:val="13"/>
        </w:numPr>
        <w:spacing w:before="0" w:after="0"/>
        <w:contextualSpacing/>
        <w:rPr/>
      </w:pPr>
      <w:r>
        <w:rPr>
          <w:bCs/>
          <w:sz w:val="22"/>
        </w:rPr>
        <w:t>Riziká vo vzťahu k zamestnancom DSS</w:t>
      </w:r>
    </w:p>
    <w:p>
      <w:pPr>
        <w:pStyle w:val="Odstavecseseznamem1"/>
        <w:numPr>
          <w:ilvl w:val="0"/>
          <w:numId w:val="13"/>
        </w:numPr>
        <w:spacing w:before="0" w:after="0"/>
        <w:contextualSpacing/>
        <w:rPr/>
      </w:pPr>
      <w:r>
        <w:rPr>
          <w:bCs/>
          <w:sz w:val="22"/>
        </w:rPr>
        <w:t>Riziká vo vzťahu k manažmentu DSS</w:t>
      </w:r>
    </w:p>
    <w:p>
      <w:pPr>
        <w:pStyle w:val="Odstavecseseznamem1"/>
        <w:numPr>
          <w:ilvl w:val="0"/>
          <w:numId w:val="13"/>
        </w:numPr>
        <w:spacing w:before="0" w:after="0"/>
        <w:contextualSpacing/>
        <w:rPr/>
      </w:pPr>
      <w:r>
        <w:rPr>
          <w:bCs/>
          <w:sz w:val="22"/>
        </w:rPr>
        <w:t>Riziká vo vzťahu k verejnosti</w:t>
      </w:r>
    </w:p>
    <w:p>
      <w:pPr>
        <w:pStyle w:val="Nadpis11"/>
        <w:rPr/>
      </w:pPr>
      <w:bookmarkStart w:id="44" w:name="_Toc71021291"/>
      <w:r>
        <w:rPr>
          <w:rStyle w:val="Odkazintenzivn1"/>
          <w:b/>
          <w:bCs w:val="false"/>
          <w:caps w:val="false"/>
          <w:smallCaps w:val="false"/>
          <w:color w:val="2F5496"/>
          <w:spacing w:val="0"/>
        </w:rPr>
        <w:t>ZOZNAM SKRATIEK</w:t>
      </w:r>
      <w:bookmarkEnd w:id="44"/>
    </w:p>
    <w:p>
      <w:pPr>
        <w:sectPr>
          <w:type w:val="continuous"/>
          <w:pgSz w:w="11906" w:h="16838"/>
          <w:pgMar w:left="1418" w:right="1416" w:header="0" w:top="720" w:footer="708" w:bottom="765" w:gutter="0"/>
          <w:formProt w:val="false"/>
          <w:textDirection w:val="lrTb"/>
          <w:docGrid w:type="default" w:linePitch="360" w:charSpace="0"/>
        </w:sectPr>
      </w:pPr>
    </w:p>
    <w:p>
      <w:pPr>
        <w:pStyle w:val="Normal"/>
        <w:tabs>
          <w:tab w:val="clear" w:pos="720"/>
          <w:tab w:val="left" w:pos="993" w:leader="none"/>
        </w:tabs>
        <w:spacing w:lineRule="auto" w:line="240" w:before="240" w:after="200"/>
        <w:contextualSpacing/>
        <w:rPr>
          <w:rFonts w:ascii="Calibri" w:hAnsi="Calibri" w:cs="Calibri"/>
          <w:sz w:val="22"/>
        </w:rPr>
      </w:pPr>
      <w:r>
        <w:rPr>
          <w:rFonts w:cs="Calibri" w:ascii="Calibri" w:hAnsi="Calibri"/>
          <w:sz w:val="22"/>
        </w:rPr>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ADOS </w:t>
        <w:tab/>
        <w:t>- agentúra domácej ošetrovateľskej starostlivosti</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AF </w:t>
        <w:tab/>
        <w:t>- ambulantná forma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AJ </w:t>
        <w:tab/>
        <w:t>- anglický jazyk</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APZ </w:t>
        <w:tab/>
        <w:t>- Agentúra podporovaného zamestnávania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BBSK </w:t>
        <w:tab/>
        <w:t>- Banskobystrický samosprávny kraj</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CNŽ </w:t>
        <w:tab/>
        <w:t>- Centrum nezávislého života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CP </w:t>
        <w:tab/>
        <w:t>- celoročný pobyt</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DI </w:t>
        <w:tab/>
        <w:t>- deinštitucionalizácia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DIČ </w:t>
        <w:tab/>
        <w:t>- daňové identifikačné číslo</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DMO </w:t>
        <w:tab/>
        <w:t>- detská mozgová obrna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DSS </w:t>
        <w:tab/>
        <w:t>- domov sociálnych služieb</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Easy-read</w:t>
        <w:tab/>
        <w:t xml:space="preserve">- ľahko čitateľný text </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EK </w:t>
        <w:tab/>
        <w:t>- etický kódex</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ESF </w:t>
        <w:tab/>
        <w:t>- Európsky sociálny fond</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EŠIF </w:t>
        <w:tab/>
        <w:t>- Európske štrukturálne a investičné fondy</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EÚ </w:t>
        <w:tab/>
        <w:t>- Európska únia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CHD </w:t>
        <w:tab/>
        <w:t>- chránená dielňa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IČO </w:t>
        <w:tab/>
        <w:t>- identifikačné číslo</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IA </w:t>
        <w:tab/>
        <w:t>- Implementačná agentúra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IP </w:t>
        <w:tab/>
        <w:t>- Individuálny plán</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IROP </w:t>
        <w:tab/>
        <w:t>- Integrovaný regionálny operačný program</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ISR </w:t>
        <w:tab/>
        <w:t>- inštruktor sociálnej rehabilitácie</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ZH</w:t>
        <w:tab/>
        <w:t>- Žiar nad Hronom</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LV</w:t>
        <w:tab/>
        <w:t>- Ladomerská Vieska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LSPP </w:t>
        <w:tab/>
        <w:t>- lekárska služba prvej pomoci</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MHD </w:t>
        <w:tab/>
        <w:t>- mestská hromadná doprava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MP </w:t>
        <w:tab/>
        <w:t>- mentálne postihnutie</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MPO </w:t>
        <w:tab/>
        <w:t xml:space="preserve">- ministerstvo pôdohospodárstva a rozvoja vidieka </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MPSVR </w:t>
        <w:tab/>
        <w:t xml:space="preserve">- Ministerstvo práce, sociálnych vecí a rodiny </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MVO </w:t>
        <w:tab/>
        <w:t>- mimovládne organizácie</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MsÚ </w:t>
        <w:tab/>
        <w:t>- mestský úrad</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MZ </w:t>
        <w:tab/>
        <w:t>- ministerstvo zdravotníctva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n. o. </w:t>
        <w:tab/>
        <w:t xml:space="preserve">- nezisková organizácia </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NFP </w:t>
        <w:tab/>
        <w:t>- nenávratný finančný príspevok</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NP DI </w:t>
        <w:tab/>
        <w:t xml:space="preserve">- Národný projekt Podpora procesu transformácie a deinštitucionalizácie systému sociálnych služieb </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NÚV </w:t>
        <w:tab/>
        <w:t>- nariadená ústavná výchova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OS </w:t>
        <w:tab/>
        <w:t>- Okresný súd</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OSN </w:t>
        <w:tab/>
        <w:t>- Organizácia spojených národov</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OÚ </w:t>
        <w:tab/>
        <w:t>- obecný úrad</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OZ </w:t>
        <w:tab/>
        <w:t>- občianske združenie</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NO </w:t>
        <w:tab/>
        <w:t>- nezisková organizácia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PCP </w:t>
        <w:tab/>
        <w:t>- prístup zameraný na človeka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PHM </w:t>
        <w:tab/>
        <w:t>- pohonné hmoty</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PO-PIA </w:t>
        <w:tab/>
        <w:t>- pondelok – piatok</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PO-SO </w:t>
        <w:tab/>
        <w:t>- pondelok – sobota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PSB </w:t>
        <w:tab/>
        <w:t>- podpora samostatného bývania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RIUS </w:t>
        <w:tab/>
        <w:t>- Regionálna investičná územná stratégia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RPSP </w:t>
        <w:tab/>
        <w:t>- Rada pre poradenstvo v sociálnej práci</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RÚVZ </w:t>
        <w:tab/>
        <w:t>- Regionálny úrad verejného zdravotníctva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SOCIA </w:t>
        <w:tab/>
        <w:t>- Nadácia na podporu sociálnych zmien</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SP </w:t>
        <w:tab/>
        <w:t>- sociálna práca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SR </w:t>
        <w:tab/>
        <w:t>- Slovenská republika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SS </w:t>
        <w:tab/>
        <w:t>- sociálne služby</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STU </w:t>
        <w:tab/>
        <w:t>- Slovenská technická univerzita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ŠF EÚ </w:t>
        <w:tab/>
        <w:t>- Štrukturálne fondy Európskej únie</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ŠZ </w:t>
        <w:tab/>
        <w:t>- špecializované zariadenie</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TSP </w:t>
        <w:tab/>
        <w:t>- terénny sociálny pracovník</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TSS </w:t>
        <w:tab/>
        <w:t>- terénne sociálne služby</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ÚPSVR </w:t>
        <w:tab/>
        <w:t>- Úrad práce, sociálnych vecí a rodiny</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VO </w:t>
        <w:tab/>
        <w:t>- verejné obstarávanie</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ZPB </w:t>
        <w:tab/>
        <w:t>- zariadenie podporovaného bývania</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ZP </w:t>
        <w:tab/>
        <w:t>- zdravotné postihnutie</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ZPMP </w:t>
        <w:tab/>
        <w:t>- Združenie na pomoc ľuďom s mentálnym postihnutím</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ZSS </w:t>
        <w:tab/>
        <w:t>- zariadenie sociálnych služieb</w:t>
      </w:r>
    </w:p>
    <w:p>
      <w:pPr>
        <w:pStyle w:val="Normal"/>
        <w:tabs>
          <w:tab w:val="clear" w:pos="720"/>
          <w:tab w:val="left" w:pos="993" w:leader="none"/>
        </w:tabs>
        <w:spacing w:lineRule="auto" w:line="240" w:before="240" w:after="200"/>
        <w:ind w:left="1134" w:hanging="1134"/>
        <w:contextualSpacing/>
        <w:rPr/>
      </w:pPr>
      <w:r>
        <w:rPr>
          <w:rFonts w:cs="Calibri" w:ascii="Calibri" w:hAnsi="Calibri"/>
          <w:sz w:val="22"/>
        </w:rPr>
        <w:t xml:space="preserve">ZUŠ </w:t>
        <w:tab/>
        <w:t>- základná umelecká škola</w:t>
      </w:r>
    </w:p>
    <w:p>
      <w:pPr>
        <w:sectPr>
          <w:type w:val="continuous"/>
          <w:pgSz w:w="11906" w:h="16838"/>
          <w:pgMar w:left="1418" w:right="1416" w:header="0" w:top="720" w:footer="708" w:bottom="765" w:gutter="0"/>
          <w:cols w:num="2" w:space="708" w:equalWidth="true" w:sep="false"/>
          <w:formProt w:val="false"/>
          <w:textDirection w:val="lrTb"/>
          <w:docGrid w:type="default" w:linePitch="360" w:charSpace="0"/>
        </w:sectPr>
      </w:pPr>
    </w:p>
    <w:p>
      <w:pPr>
        <w:pStyle w:val="Nadpis11"/>
        <w:ind w:left="0" w:hanging="0"/>
        <w:rPr/>
      </w:pPr>
      <w:bookmarkStart w:id="45" w:name="_Toc71021292"/>
      <w:r>
        <w:rPr>
          <w:rStyle w:val="Odkazintenzivn1"/>
          <w:b/>
          <w:bCs w:val="false"/>
          <w:caps w:val="false"/>
          <w:smallCaps w:val="false"/>
          <w:color w:val="2F5496"/>
          <w:spacing w:val="0"/>
        </w:rPr>
        <w:t>PRÍLOHY</w:t>
      </w:r>
      <w:bookmarkEnd w:id="45"/>
    </w:p>
    <w:p>
      <w:pPr>
        <w:pStyle w:val="Normal"/>
        <w:spacing w:lineRule="atLeast" w:line="22" w:before="240" w:after="200"/>
        <w:contextualSpacing/>
        <w:rPr/>
      </w:pPr>
      <w:r>
        <w:rPr/>
      </w:r>
    </w:p>
    <w:p>
      <w:pPr>
        <w:pStyle w:val="Normal"/>
        <w:rPr/>
      </w:pPr>
      <w:r>
        <w:rPr/>
        <w:t xml:space="preserve">Príloha 1 </w:t>
        <w:tab/>
        <w:t>Etický kódex</w:t>
        <w:tab/>
        <w:tab/>
        <w:tab/>
        <w:tab/>
        <w:tab/>
        <w:tab/>
        <w:tab/>
      </w:r>
    </w:p>
    <w:p>
      <w:pPr>
        <w:pStyle w:val="Normal"/>
        <w:rPr/>
      </w:pPr>
      <w:r>
        <w:rPr/>
        <w:t>Príloha 2</w:t>
        <w:tab/>
        <w:t>Detailná analýza zariadenia</w:t>
        <w:tab/>
        <w:tab/>
        <w:tab/>
        <w:tab/>
        <w:tab/>
      </w:r>
    </w:p>
    <w:p>
      <w:pPr>
        <w:pStyle w:val="Normal"/>
        <w:rPr/>
      </w:pPr>
      <w:r>
        <w:rPr/>
        <w:t xml:space="preserve">Príloha 3 </w:t>
        <w:tab/>
        <w:t>História zariadenia</w:t>
        <w:tab/>
        <w:tab/>
        <w:tab/>
        <w:tab/>
        <w:tab/>
        <w:tab/>
      </w:r>
    </w:p>
    <w:p>
      <w:pPr>
        <w:pStyle w:val="Normal"/>
        <w:rPr/>
      </w:pPr>
      <w:r>
        <w:rPr/>
        <w:t xml:space="preserve">Príloha 4 </w:t>
        <w:tab/>
        <w:t>Fyzické prostredie – popis súčasných objektov</w:t>
        <w:tab/>
        <w:tab/>
        <w:tab/>
      </w:r>
    </w:p>
    <w:p>
      <w:pPr>
        <w:pStyle w:val="Normal"/>
        <w:rPr/>
      </w:pPr>
      <w:r>
        <w:rPr/>
        <w:t xml:space="preserve">Príloha 5 </w:t>
        <w:tab/>
        <w:t>Práca s rodinnými príslušníkmi</w:t>
        <w:tab/>
        <w:tab/>
        <w:tab/>
        <w:tab/>
        <w:tab/>
      </w:r>
    </w:p>
    <w:p>
      <w:pPr>
        <w:pStyle w:val="Normal"/>
        <w:ind w:left="1418" w:hanging="1418"/>
        <w:rPr/>
      </w:pPr>
      <w:r>
        <w:rPr/>
        <w:t xml:space="preserve">Príloha 6 </w:t>
        <w:tab/>
        <w:t>Realizované integračné a inkluzívne aktivity, kultúrne, športové, v komunite,</w:t>
      </w:r>
    </w:p>
    <w:p>
      <w:pPr>
        <w:pStyle w:val="Normal"/>
        <w:ind w:left="1418" w:hanging="2"/>
        <w:rPr/>
      </w:pPr>
      <w:r>
        <w:rPr/>
        <w:t>s dobrovoľníkmi, v pracovnom živote</w:t>
      </w:r>
    </w:p>
    <w:p>
      <w:pPr>
        <w:pStyle w:val="Normal"/>
        <w:rPr/>
      </w:pPr>
      <w:r>
        <w:rPr/>
        <w:t xml:space="preserve">Príloha 7 </w:t>
        <w:tab/>
        <w:t>Analýza súčasnej situácie – prijímatelia sociálnych služieb</w:t>
        <w:tab/>
      </w:r>
    </w:p>
    <w:p>
      <w:pPr>
        <w:pStyle w:val="Normal"/>
        <w:rPr/>
      </w:pPr>
      <w:r>
        <w:rPr/>
        <w:t xml:space="preserve">Príloha 8 </w:t>
        <w:tab/>
        <w:t>Analýza potrieb, predstáv a snov prijímateľov zariadenia</w:t>
        <w:tab/>
      </w:r>
    </w:p>
    <w:p>
      <w:pPr>
        <w:pStyle w:val="Normal"/>
        <w:rPr/>
      </w:pPr>
      <w:r>
        <w:rPr/>
        <w:t xml:space="preserve">Príloha 9 </w:t>
        <w:tab/>
        <w:t>Individuálne plánovanie</w:t>
        <w:tab/>
        <w:tab/>
        <w:tab/>
        <w:tab/>
        <w:tab/>
      </w:r>
    </w:p>
    <w:p>
      <w:pPr>
        <w:pStyle w:val="Normal"/>
        <w:rPr/>
      </w:pPr>
      <w:r>
        <w:rPr/>
        <w:t xml:space="preserve">Príloha 10 </w:t>
        <w:tab/>
        <w:t>Analýza vytypovaných lokalít a ich charakteristika</w:t>
        <w:tab/>
        <w:tab/>
      </w:r>
    </w:p>
    <w:p>
      <w:pPr>
        <w:pStyle w:val="Normal"/>
        <w:spacing w:lineRule="auto" w:line="240"/>
        <w:rPr/>
      </w:pPr>
      <w:r>
        <w:rPr/>
        <w:t>Príloha 11</w:t>
        <w:tab/>
        <w:t>Akčný plán komunikácie</w:t>
        <w:tab/>
        <w:tab/>
        <w:tab/>
        <w:tab/>
        <w:tab/>
      </w:r>
    </w:p>
    <w:p>
      <w:pPr>
        <w:pStyle w:val="Normal"/>
        <w:spacing w:lineRule="auto" w:line="240"/>
        <w:rPr/>
      </w:pPr>
      <w:r>
        <w:rPr/>
        <w:t>Príloha 12</w:t>
        <w:tab/>
        <w:t>Prehľad všeobecných a kapitálových výdavkov v čase transformácie</w:t>
        <w:tab/>
        <w:tab/>
      </w:r>
    </w:p>
    <w:p>
      <w:pPr>
        <w:pStyle w:val="Normal"/>
        <w:spacing w:lineRule="auto" w:line="240"/>
        <w:ind w:left="1416" w:hanging="1410"/>
        <w:rPr/>
      </w:pPr>
      <w:r>
        <w:rPr/>
        <w:t>Príloha 13</w:t>
        <w:tab/>
        <w:t>Sebahodnotenie a riziká</w:t>
      </w:r>
    </w:p>
    <w:p>
      <w:pPr>
        <w:pStyle w:val="Normal"/>
        <w:ind w:left="1416" w:hanging="1410"/>
        <w:rPr/>
      </w:pPr>
      <w:r>
        <w:rPr/>
        <w:t xml:space="preserve">Príloha 14    </w:t>
        <w:tab/>
        <w:t xml:space="preserve"> Výber lokalít pre II. etapu transformácie v DSS Ladomerská Vieska</w:t>
        <w:tab/>
        <w:tab/>
        <w:tab/>
        <w:tab/>
        <w:tab/>
      </w:r>
    </w:p>
    <w:p>
      <w:pPr>
        <w:pStyle w:val="Normal"/>
        <w:spacing w:lineRule="atLeast" w:line="22"/>
        <w:ind w:left="6372" w:firstLine="708"/>
        <w:rPr>
          <w:rFonts w:ascii="Calibri" w:hAnsi="Calibri" w:cs="Calibri"/>
          <w:bCs/>
          <w:sz w:val="22"/>
        </w:rPr>
      </w:pPr>
      <w:r>
        <w:rPr>
          <w:rFonts w:cs="Calibri" w:ascii="Calibri" w:hAnsi="Calibri"/>
          <w:bCs/>
          <w:sz w:val="22"/>
        </w:rPr>
      </w:r>
    </w:p>
    <w:p>
      <w:pPr>
        <w:pStyle w:val="Normal"/>
        <w:spacing w:lineRule="atLeast" w:line="22"/>
        <w:rPr>
          <w:rFonts w:ascii="Calibri" w:hAnsi="Calibri" w:cs="Calibri"/>
          <w:b/>
          <w:b/>
          <w:bCs/>
          <w:sz w:val="28"/>
          <w:szCs w:val="28"/>
        </w:rPr>
      </w:pPr>
      <w:r>
        <w:rPr>
          <w:rFonts w:cs="Calibri" w:ascii="Calibri" w:hAnsi="Calibri"/>
          <w:b/>
          <w:bCs/>
          <w:sz w:val="28"/>
          <w:szCs w:val="28"/>
        </w:rPr>
      </w:r>
    </w:p>
    <w:p>
      <w:pPr>
        <w:pStyle w:val="Normal"/>
        <w:spacing w:lineRule="atLeast" w:line="22"/>
        <w:rPr>
          <w:rFonts w:ascii="Calibri" w:hAnsi="Calibri" w:cs="Calibri"/>
          <w:b/>
          <w:b/>
          <w:bCs/>
          <w:sz w:val="28"/>
          <w:szCs w:val="28"/>
        </w:rPr>
      </w:pPr>
      <w:r>
        <w:rPr>
          <w:rFonts w:cs="Calibri" w:ascii="Calibri" w:hAnsi="Calibri"/>
          <w:b/>
          <w:bCs/>
          <w:sz w:val="28"/>
          <w:szCs w:val="28"/>
        </w:rPr>
      </w:r>
    </w:p>
    <w:p>
      <w:pPr>
        <w:pStyle w:val="Normal"/>
        <w:spacing w:lineRule="atLeast" w:line="22"/>
        <w:rPr>
          <w:rFonts w:ascii="Calibri" w:hAnsi="Calibri" w:cs="Calibri"/>
          <w:b/>
          <w:b/>
          <w:bCs/>
          <w:sz w:val="28"/>
          <w:szCs w:val="28"/>
        </w:rPr>
      </w:pPr>
      <w:r>
        <w:rPr>
          <w:rFonts w:cs="Calibri" w:ascii="Calibri" w:hAnsi="Calibri"/>
          <w:b/>
          <w:bCs/>
          <w:sz w:val="28"/>
          <w:szCs w:val="28"/>
        </w:rPr>
      </w:r>
    </w:p>
    <w:p>
      <w:pPr>
        <w:pStyle w:val="Normal"/>
        <w:spacing w:lineRule="atLeast" w:line="22"/>
        <w:rPr>
          <w:rFonts w:ascii="Calibri" w:hAnsi="Calibri" w:cs="Calibri"/>
          <w:b/>
          <w:b/>
          <w:sz w:val="28"/>
          <w:szCs w:val="28"/>
        </w:rPr>
      </w:pPr>
      <w:r>
        <w:rPr>
          <w:rFonts w:cs="Calibri" w:ascii="Calibri" w:hAnsi="Calibri"/>
          <w:b/>
          <w:sz w:val="28"/>
          <w:szCs w:val="28"/>
        </w:rPr>
      </w:r>
    </w:p>
    <w:p>
      <w:pPr>
        <w:pStyle w:val="Normal"/>
        <w:spacing w:lineRule="atLeast" w:line="22"/>
        <w:rPr>
          <w:rFonts w:ascii="Calibri" w:hAnsi="Calibri" w:cs="Calibri"/>
          <w:b/>
          <w:b/>
          <w:sz w:val="28"/>
          <w:szCs w:val="28"/>
        </w:rPr>
      </w:pPr>
      <w:r>
        <w:rPr>
          <w:rFonts w:cs="Calibri" w:ascii="Calibri" w:hAnsi="Calibri"/>
          <w:b/>
          <w:sz w:val="28"/>
          <w:szCs w:val="28"/>
        </w:rPr>
      </w:r>
    </w:p>
    <w:p>
      <w:pPr>
        <w:pStyle w:val="Normal"/>
        <w:spacing w:lineRule="atLeast" w:line="22"/>
        <w:rPr>
          <w:rFonts w:ascii="Calibri" w:hAnsi="Calibri" w:cs="Calibri"/>
          <w:b/>
          <w:b/>
          <w:sz w:val="28"/>
          <w:szCs w:val="28"/>
        </w:rPr>
      </w:pPr>
      <w:r>
        <w:rPr>
          <w:rFonts w:cs="Calibri" w:ascii="Calibri" w:hAnsi="Calibri"/>
          <w:b/>
          <w:sz w:val="28"/>
          <w:szCs w:val="28"/>
        </w:rPr>
      </w:r>
    </w:p>
    <w:p>
      <w:pPr>
        <w:pStyle w:val="Normal"/>
        <w:spacing w:lineRule="atLeast" w:line="22"/>
        <w:rPr>
          <w:rFonts w:ascii="Calibri" w:hAnsi="Calibri" w:cs="Calibri"/>
          <w:b/>
          <w:b/>
          <w:sz w:val="28"/>
          <w:szCs w:val="28"/>
        </w:rPr>
      </w:pPr>
      <w:r>
        <w:rPr>
          <w:rFonts w:cs="Calibri" w:ascii="Calibri" w:hAnsi="Calibri"/>
          <w:b/>
          <w:sz w:val="28"/>
          <w:szCs w:val="28"/>
        </w:rPr>
      </w:r>
    </w:p>
    <w:p>
      <w:pPr>
        <w:pStyle w:val="Normal"/>
        <w:spacing w:lineRule="atLeast" w:line="22" w:before="0" w:after="200"/>
        <w:rPr/>
      </w:pPr>
      <w:r>
        <w:rPr/>
      </w:r>
    </w:p>
    <w:sectPr>
      <w:headerReference w:type="default" r:id="rId12"/>
      <w:footerReference w:type="default" r:id="rId13"/>
      <w:type w:val="nextPage"/>
      <w:pgSz w:w="11906" w:h="16838"/>
      <w:pgMar w:left="1417" w:right="1417" w:header="708" w:top="1417"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ee"/>
    <w:family w:val="roman"/>
    <w:pitch w:val="variable"/>
  </w:font>
  <w:font w:name="Symbol">
    <w:charset w:val="ee"/>
    <w:family w:val="roman"/>
    <w:pitch w:val="variable"/>
  </w:font>
  <w:font w:name="Calibri">
    <w:charset w:val="ee"/>
    <w:family w:val="roman"/>
    <w:pitch w:val="variable"/>
  </w:font>
  <w:font w:name="Courier New">
    <w:charset w:val="ee"/>
    <w:family w:val="roman"/>
    <w:pitch w:val="variable"/>
  </w:font>
  <w:font w:name="Wingdings">
    <w:charset w:val="ee"/>
    <w:family w:val="roman"/>
    <w:pitch w:val="variable"/>
  </w:font>
  <w:font w:name="Arial">
    <w:charset w:val="ee"/>
    <w:family w:val="roman"/>
    <w:pitch w:val="variable"/>
  </w:font>
  <w:font w:name="Tahoma">
    <w:charset w:val="ee"/>
    <w:family w:val="roman"/>
    <w:pitch w:val="variable"/>
  </w:font>
  <w:font w:name="Calibri Light">
    <w:charset w:val="ee"/>
    <w:family w:val="roman"/>
    <w:pitch w:val="variable"/>
  </w:font>
  <w:font w:name="OpenSymbol">
    <w:altName w:val="Arial Unicode MS"/>
    <w:charset w:val="ee"/>
    <w:family w:val="roman"/>
    <w:pitch w:val="variable"/>
  </w:font>
  <w:font w:name="Wingdings">
    <w:charset w:val="02"/>
    <w:family w:val="auto"/>
    <w:pitch w:val="variable"/>
  </w:font>
  <w:font w:name="Courier New">
    <w:charset w:val="01"/>
    <w:family w:val="modern"/>
    <w:pitch w:val="fixed"/>
  </w:font>
  <w:font w:name="Times New Roman">
    <w:charset w:val="01"/>
    <w:family w:val="roman"/>
    <w:pitch w:val="variable"/>
  </w:font>
  <w:font w:name="Calibri">
    <w:charset w:val="01"/>
    <w:family w:val="swiss"/>
    <w:pitch w:val="variable"/>
  </w:font>
  <w:font w:name="Arial">
    <w:charset w:val="01"/>
    <w:family w:val="swiss"/>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ta1"/>
      <w:jc w:val="center"/>
      <w:rPr/>
    </w:pPr>
    <w:r>
      <w:rPr/>
      <w:fldChar w:fldCharType="begin"/>
    </w:r>
    <w:r>
      <w:rPr/>
      <w:instrText> PAGE </w:instrText>
    </w:r>
    <w:r>
      <w:rPr/>
      <w:fldChar w:fldCharType="separate"/>
    </w:r>
    <w:r>
      <w:rPr/>
      <w:t>24</w:t>
    </w:r>
    <w:r>
      <w:rPr/>
      <w:fldChar w:fldCharType="end"/>
    </w:r>
  </w:p>
  <w:p>
    <w:pPr>
      <w:pStyle w:val="Pta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ta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lavika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2"/>
        <w:b/>
        <w:rFonts w:cs="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ind w:left="1800"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upperLetter"/>
      <w:lvlText w:val="%1."/>
      <w:lvlJc w:val="left"/>
      <w:pPr>
        <w:ind w:left="720" w:hanging="360"/>
      </w:pPr>
      <w:rPr>
        <w:sz w:val="22"/>
        <w:rFonts w:cs="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
      <w:lvlJc w:val="left"/>
      <w:pPr>
        <w:ind w:left="1440" w:hanging="360"/>
      </w:pPr>
      <w:rPr>
        <w:rFonts w:ascii="Wingdings" w:hAnsi="Wingdings" w:cs="Wingdings" w:hint="default"/>
        <w:sz w:val="22"/>
        <w:rFonts w:cs="Wingdings"/>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861"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2"/>
      <w:numFmt w:val="bullet"/>
      <w:lvlText w:val="-"/>
      <w:lvlJc w:val="left"/>
      <w:pPr>
        <w:ind w:left="501" w:hanging="360"/>
      </w:pPr>
      <w:rPr>
        <w:rFonts w:ascii="Times New Roman" w:hAnsi="Times New Roman" w:cs="Times New Roman" w:hint="default"/>
        <w:sz w:val="22"/>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ind w:left="1488" w:hanging="360"/>
      </w:pPr>
      <w:rPr>
        <w:rFonts w:ascii="Wingdings" w:hAnsi="Wingdings" w:cs="Wingdings" w:hint="default"/>
        <w:sz w:val="22"/>
        <w:rFonts w:cs="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ind w:left="720"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ind w:left="394" w:hanging="360"/>
      </w:pPr>
      <w:rPr>
        <w:rFonts w:ascii="Times New Roman" w:hAnsi="Times New Roman" w:cs="Times New Roman" w:hint="default"/>
        <w:sz w:val="22"/>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ind w:left="1068"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ind w:left="720" w:hanging="360"/>
      </w:pPr>
      <w:rPr>
        <w:rFonts w:ascii="Symbol" w:hAnsi="Symbol" w:cs="Symbol" w:hint="default"/>
        <w:sz w:val="20"/>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ind w:left="720" w:hanging="360"/>
      </w:pPr>
      <w:rPr>
        <w:rFonts w:ascii="Symbol" w:hAnsi="Symbol" w:cs="Symbol" w:hint="default"/>
        <w:sz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ind w:left="394" w:hanging="360"/>
      </w:pPr>
      <w:rPr>
        <w:rFonts w:ascii="Symbol" w:hAnsi="Symbol" w:cs="Symbol" w:hint="default"/>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ind w:left="720" w:hanging="360"/>
      </w:pPr>
      <w:rPr>
        <w:rFonts w:ascii="Symbol" w:hAnsi="Symbol" w:cs="Symbol" w:hint="default"/>
        <w:sz w:val="20"/>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ind w:left="720" w:hanging="360"/>
      </w:pPr>
      <w:rPr>
        <w:rFonts w:ascii="Symbol" w:hAnsi="Symbol" w:cs="Symbol" w:hint="default"/>
        <w:sz w:val="20"/>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ind w:left="720" w:hanging="360"/>
      </w:pPr>
      <w:rPr>
        <w:rFonts w:ascii="Symbol" w:hAnsi="Symbol" w:cs="Symbol" w:hint="default"/>
        <w:sz w:val="20"/>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ind w:left="720" w:hanging="360"/>
      </w:pPr>
      <w:rPr>
        <w:rFonts w:ascii="Symbol" w:hAnsi="Symbol" w:cs="Symbol" w:hint="default"/>
        <w:sz w:val="22"/>
        <w:szCs w:val="22"/>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5"/>
      <w:numFmt w:val="bullet"/>
      <w:lvlText w:val="-"/>
      <w:lvlJc w:val="left"/>
      <w:pPr>
        <w:ind w:left="720" w:hanging="360"/>
      </w:pPr>
      <w:rPr>
        <w:rFonts w:ascii="Times New Roman" w:hAnsi="Times New Roman" w:cs="Times New Roman" w:hint="default"/>
        <w:sz w:val="22"/>
        <w:rFonts w:cs="Times New Roman"/>
      </w:rPr>
    </w:lvl>
    <w:lvl w:ilvl="1">
      <w:start w:val="1"/>
      <w:numFmt w:val="bullet"/>
      <w:lvlText w:val="•"/>
      <w:lvlJc w:val="left"/>
      <w:pPr>
        <w:ind w:left="1785" w:hanging="705"/>
      </w:pPr>
      <w:rPr>
        <w:rFonts w:ascii="Calibri" w:hAnsi="Calibri" w:cs="Calibri" w:hint="default"/>
        <w:sz w:val="22"/>
        <w:rFonts w:cs="Times New Roman"/>
        <w:color w:val="FF0000"/>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bullet"/>
      <w:lvlText w:val=""/>
      <w:lvlJc w:val="left"/>
      <w:pPr>
        <w:ind w:left="720" w:hanging="360"/>
      </w:pPr>
      <w:rPr>
        <w:rFonts w:ascii="Symbol" w:hAnsi="Symbol" w:cs="Symbol" w:hint="default"/>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decimal"/>
      <w:lvlText w:val="%1."/>
      <w:lvlJc w:val="left"/>
      <w:pPr>
        <w:ind w:left="1620" w:hanging="360"/>
      </w:pPr>
      <w:rPr>
        <w:sz w:val="22"/>
        <w:rFonts w:cs="Calibri"/>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bullet"/>
      <w:suff w:val="nothing"/>
      <w:lvlText w:val=""/>
      <w:lvlJc w:val="left"/>
      <w:pPr>
        <w:ind w:left="707" w:hanging="0"/>
      </w:pPr>
      <w:rPr>
        <w:rFonts w:ascii="Symbol" w:hAnsi="Symbol" w:cs="Symbol" w:hint="default"/>
        <w:sz w:val="22"/>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3">
    <w:lvl w:ilvl="0">
      <w:start w:val="1"/>
      <w:numFmt w:val="bullet"/>
      <w:lvlText w:val=""/>
      <w:lvlJc w:val="left"/>
      <w:pPr>
        <w:ind w:left="720" w:hanging="360"/>
      </w:pPr>
      <w:rPr>
        <w:rFonts w:ascii="Wingdings" w:hAnsi="Wingdings" w:cs="Wingdings" w:hint="default"/>
        <w:sz w:val="22"/>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
    <w:lvl w:ilvl="0">
      <w:start w:val="1"/>
      <w:numFmt w:val="bullet"/>
      <w:lvlText w:val=""/>
      <w:lvlJc w:val="left"/>
      <w:pPr>
        <w:ind w:left="720" w:hanging="360"/>
      </w:pPr>
      <w:rPr>
        <w:rFonts w:ascii="Wingdings" w:hAnsi="Wingdings" w:cs="Wingdings" w:hint="default"/>
        <w:sz w:val="22"/>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5">
    <w:lvl w:ilvl="0">
      <w:start w:val="1"/>
      <w:numFmt w:val="bullet"/>
      <w:lvlText w:val=""/>
      <w:lvlJc w:val="left"/>
      <w:pPr>
        <w:ind w:left="720" w:hanging="360"/>
      </w:pPr>
      <w:rPr>
        <w:rFonts w:ascii="Wingdings" w:hAnsi="Wingdings" w:cs="Wingdings" w:hint="default"/>
        <w:sz w:val="22"/>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6">
    <w:lvl w:ilvl="0">
      <w:start w:val="1"/>
      <w:numFmt w:val="bullet"/>
      <w:lvlText w:val=""/>
      <w:lvlJc w:val="left"/>
      <w:pPr>
        <w:ind w:left="720" w:hanging="360"/>
      </w:pPr>
      <w:rPr>
        <w:rFonts w:ascii="Wingdings" w:hAnsi="Wingdings" w:cs="Wingdings" w:hint="default"/>
        <w:sz w:val="22"/>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7">
    <w:lvl w:ilvl="0">
      <w:start w:val="1"/>
      <w:numFmt w:val="bullet"/>
      <w:lvlText w:val=""/>
      <w:lvlJc w:val="left"/>
      <w:pPr>
        <w:ind w:left="1146" w:hanging="360"/>
      </w:pPr>
      <w:rPr>
        <w:rFonts w:ascii="Symbol" w:hAnsi="Symbol" w:cs="Symbol" w:hint="default"/>
        <w:rFonts w:cs="Symbol"/>
      </w:rPr>
    </w:lvl>
    <w:lvl w:ilvl="1">
      <w:start w:val="1"/>
      <w:numFmt w:val="bullet"/>
      <w:lvlText w:val=""/>
      <w:lvlJc w:val="left"/>
      <w:pPr>
        <w:ind w:left="360" w:hanging="360"/>
      </w:pPr>
      <w:rPr>
        <w:rFonts w:ascii="Wingdings" w:hAnsi="Wingdings" w:cs="Wingdings" w:hint="default"/>
        <w:rFonts w:cs="Wingdings"/>
      </w:rPr>
    </w:lvl>
    <w:lvl w:ilvl="2">
      <w:start w:val="1"/>
      <w:numFmt w:val="lowerLetter"/>
      <w:lvlText w:val="%3)"/>
      <w:lvlJc w:val="left"/>
      <w:pPr>
        <w:ind w:left="2160" w:hanging="360"/>
      </w:pPr>
    </w:lvl>
    <w:lvl w:ilvl="3">
      <w:start w:val="1"/>
      <w:numFmt w:val="decimal"/>
      <w:lvlText w:val="%4."/>
      <w:lvlJc w:val="left"/>
      <w:pPr>
        <w:ind w:left="2880" w:hanging="360"/>
      </w:p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8">
    <w:lvl w:ilvl="0">
      <w:start w:val="1"/>
      <w:numFmt w:val="bullet"/>
      <w:lvlText w:val=""/>
      <w:lvlJc w:val="left"/>
      <w:pPr>
        <w:ind w:left="720" w:hanging="360"/>
      </w:pPr>
      <w:rPr>
        <w:rFonts w:ascii="Wingdings" w:hAnsi="Wingdings" w:cs="Wingdings" w:hint="default"/>
        <w:sz w:val="22"/>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9">
    <w:lvl w:ilvl="0">
      <w:start w:val="1"/>
      <w:numFmt w:val="bullet"/>
      <w:lvlText w:val="-"/>
      <w:lvlJc w:val="left"/>
      <w:pPr>
        <w:ind w:left="720" w:hanging="360"/>
      </w:pPr>
      <w:rPr>
        <w:rFonts w:ascii="Arial" w:hAnsi="Arial" w:cs="Arial" w:hint="default"/>
        <w:sz w:val="19"/>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0">
    <w:lvl w:ilvl="0">
      <w:start w:val="1"/>
      <w:numFmt w:val="bullet"/>
      <w:lvlText w:val=""/>
      <w:lvlJc w:val="left"/>
      <w:pPr>
        <w:ind w:left="720" w:hanging="360"/>
      </w:pPr>
      <w:rPr>
        <w:rFonts w:ascii="Wingdings" w:hAnsi="Wingdings" w:cs="Wingdings" w:hint="default"/>
        <w:sz w:val="19"/>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1">
    <w:lvl w:ilvl="0">
      <w:start w:val="1"/>
      <w:numFmt w:val="bullet"/>
      <w:lvlText w:val=""/>
      <w:lvlJc w:val="left"/>
      <w:pPr>
        <w:ind w:left="1440" w:hanging="360"/>
      </w:pPr>
      <w:rPr>
        <w:rFonts w:ascii="Wingdings" w:hAnsi="Wingdings" w:cs="Wingdings" w:hint="default"/>
        <w:rFonts w:cs="Wingding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32">
    <w:lvl w:ilvl="0">
      <w:start w:val="1"/>
      <w:numFmt w:val="bullet"/>
      <w:lvlText w:val=""/>
      <w:lvlJc w:val="left"/>
      <w:pPr>
        <w:ind w:left="720" w:hanging="360"/>
      </w:pPr>
      <w:rPr>
        <w:rFonts w:ascii="Wingdings" w:hAnsi="Wingdings" w:cs="Wingdings" w:hint="default"/>
        <w:sz w:val="22"/>
        <w:rFonts w:cs="Wingdings"/>
      </w:rPr>
    </w:lvl>
    <w:lvl w:ilvl="1">
      <w:start w:val="1"/>
      <w:numFmt w:val="bullet"/>
      <w:lvlText w:val=""/>
      <w:lvlJc w:val="left"/>
      <w:pPr>
        <w:ind w:left="1440" w:hanging="360"/>
      </w:pPr>
      <w:rPr>
        <w:rFonts w:ascii="Wingdings" w:hAnsi="Wingdings" w:cs="Wingdings" w:hint="default"/>
        <w:rFonts w:cs="Wingdings"/>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4">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Symbol" w:hAnsi="Symbol" w:cs="Symbol" w:hint="default"/>
        <w:rFonts w:cs="OpenSymbol"/>
      </w:rPr>
    </w:lvl>
    <w:lvl w:ilvl="2">
      <w:start w:val="1"/>
      <w:numFmt w:val="bullet"/>
      <w:lvlText w:val=""/>
      <w:lvlJc w:val="left"/>
      <w:pPr>
        <w:tabs>
          <w:tab w:val="num" w:pos="1440"/>
        </w:tabs>
        <w:ind w:left="1440" w:hanging="360"/>
      </w:pPr>
      <w:rPr>
        <w:rFonts w:ascii="Symbol" w:hAnsi="Symbol" w:cs="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Symbol" w:hAnsi="Symbol" w:cs="Symbol" w:hint="default"/>
        <w:rFonts w:cs="OpenSymbol"/>
      </w:rPr>
    </w:lvl>
    <w:lvl w:ilvl="5">
      <w:start w:val="1"/>
      <w:numFmt w:val="bullet"/>
      <w:lvlText w:val=""/>
      <w:lvlJc w:val="left"/>
      <w:pPr>
        <w:tabs>
          <w:tab w:val="num" w:pos="2520"/>
        </w:tabs>
        <w:ind w:left="2520" w:hanging="360"/>
      </w:pPr>
      <w:rPr>
        <w:rFonts w:ascii="Symbol" w:hAnsi="Symbol" w:cs="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Symbol" w:hAnsi="Symbol" w:cs="Symbol" w:hint="default"/>
        <w:rFonts w:cs="OpenSymbol"/>
      </w:rPr>
    </w:lvl>
    <w:lvl w:ilvl="8">
      <w:start w:val="1"/>
      <w:numFmt w:val="bullet"/>
      <w:lvlText w:val=""/>
      <w:lvlJc w:val="left"/>
      <w:pPr>
        <w:tabs>
          <w:tab w:val="num" w:pos="3600"/>
        </w:tabs>
        <w:ind w:left="3600" w:hanging="360"/>
      </w:pPr>
      <w:rPr>
        <w:rFonts w:ascii="Symbol" w:hAnsi="Symbol" w:cs="Symbol" w:hint="default"/>
        <w:rFonts w:cs="OpenSymbol"/>
      </w:rPr>
    </w:lvl>
  </w:abstractNum>
  <w:abstractNum w:abstractNumId="35">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6">
    <w:lvl w:ilvl="0">
      <w:start w:val="1"/>
      <w:numFmt w:val="bullet"/>
      <w:lvlText w:val=""/>
      <w:lvlJc w:val="left"/>
      <w:pPr>
        <w:tabs>
          <w:tab w:val="num" w:pos="720"/>
        </w:tabs>
        <w:ind w:left="720" w:hanging="360"/>
      </w:pPr>
      <w:rPr>
        <w:rFonts w:ascii="Symbol" w:hAnsi="Symbol" w:cs="Symbol" w:hint="default"/>
        <w:sz w:val="22"/>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w="http://schemas.openxmlformats.org/wordprocessingml/2006/main">
  <w:zoom w:percent="90"/>
  <w:displayBackgroundShape/>
  <w:embedSystemFonts/>
  <w:defaultTabStop w:val="720"/>
  <w:autoHyphenation w:val="false"/>
  <w:compat/>
  <w:themeFontLang w:val="sk-SK"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sk-SK" w:eastAsia="sk-SK"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f7ef4"/>
    <w:pPr>
      <w:widowControl/>
      <w:suppressAutoHyphens w:val="true"/>
      <w:bidi w:val="0"/>
      <w:spacing w:lineRule="auto" w:line="276" w:before="0" w:after="200"/>
      <w:jc w:val="left"/>
    </w:pPr>
    <w:rPr>
      <w:rFonts w:eastAsia="Calibri" w:ascii="Times New Roman" w:hAnsi="Times New Roman" w:cs="Times New Roman"/>
      <w:color w:val="auto"/>
      <w:kern w:val="0"/>
      <w:sz w:val="24"/>
      <w:szCs w:val="24"/>
      <w:lang w:eastAsia="zh-CN" w:val="sk-SK" w:bidi="ar-SA"/>
    </w:rPr>
  </w:style>
  <w:style w:type="character" w:styleId="DefaultParagraphFont" w:default="1">
    <w:name w:val="Default Paragraph Font"/>
    <w:uiPriority w:val="1"/>
    <w:semiHidden/>
    <w:unhideWhenUsed/>
    <w:qFormat/>
    <w:rPr/>
  </w:style>
  <w:style w:type="character" w:styleId="WW8Num1z0" w:customStyle="1">
    <w:name w:val="WW8Num1z0"/>
    <w:qFormat/>
    <w:rsid w:val="005f7ef4"/>
    <w:rPr>
      <w:b/>
      <w:sz w:val="24"/>
    </w:rPr>
  </w:style>
  <w:style w:type="character" w:styleId="WW8Num1z1" w:customStyle="1">
    <w:name w:val="WW8Num1z1"/>
    <w:qFormat/>
    <w:rsid w:val="005f7ef4"/>
    <w:rPr/>
  </w:style>
  <w:style w:type="character" w:styleId="WW8Num1z3" w:customStyle="1">
    <w:name w:val="WW8Num1z3"/>
    <w:qFormat/>
    <w:rsid w:val="005f7ef4"/>
    <w:rPr/>
  </w:style>
  <w:style w:type="character" w:styleId="WW8Num1z4" w:customStyle="1">
    <w:name w:val="WW8Num1z4"/>
    <w:qFormat/>
    <w:rsid w:val="005f7ef4"/>
    <w:rPr/>
  </w:style>
  <w:style w:type="character" w:styleId="WW8Num1z5" w:customStyle="1">
    <w:name w:val="WW8Num1z5"/>
    <w:qFormat/>
    <w:rsid w:val="005f7ef4"/>
    <w:rPr/>
  </w:style>
  <w:style w:type="character" w:styleId="WW8Num1z6" w:customStyle="1">
    <w:name w:val="WW8Num1z6"/>
    <w:qFormat/>
    <w:rsid w:val="005f7ef4"/>
    <w:rPr/>
  </w:style>
  <w:style w:type="character" w:styleId="WW8Num1z7" w:customStyle="1">
    <w:name w:val="WW8Num1z7"/>
    <w:qFormat/>
    <w:rsid w:val="005f7ef4"/>
    <w:rPr/>
  </w:style>
  <w:style w:type="character" w:styleId="WW8Num1z8" w:customStyle="1">
    <w:name w:val="WW8Num1z8"/>
    <w:qFormat/>
    <w:rsid w:val="005f7ef4"/>
    <w:rPr/>
  </w:style>
  <w:style w:type="character" w:styleId="WW8Num2z0" w:customStyle="1">
    <w:name w:val="WW8Num2z0"/>
    <w:qFormat/>
    <w:rsid w:val="005f7ef4"/>
    <w:rPr>
      <w:rFonts w:ascii="Symbol" w:hAnsi="Symbol" w:cs="Symbol"/>
      <w:sz w:val="20"/>
      <w:szCs w:val="20"/>
    </w:rPr>
  </w:style>
  <w:style w:type="character" w:styleId="WW8Num3z0" w:customStyle="1">
    <w:name w:val="WW8Num3z0"/>
    <w:qFormat/>
    <w:rsid w:val="005f7ef4"/>
    <w:rPr>
      <w:rFonts w:ascii="Calibri" w:hAnsi="Calibri" w:cs="Calibri"/>
      <w:b/>
      <w:sz w:val="22"/>
    </w:rPr>
  </w:style>
  <w:style w:type="character" w:styleId="WW8Num4z0" w:customStyle="1">
    <w:name w:val="WW8Num4z0"/>
    <w:qFormat/>
    <w:rsid w:val="005f7ef4"/>
    <w:rPr>
      <w:rFonts w:ascii="Symbol" w:hAnsi="Symbol" w:cs="Symbol"/>
      <w:sz w:val="22"/>
    </w:rPr>
  </w:style>
  <w:style w:type="character" w:styleId="WW8Num5z0" w:customStyle="1">
    <w:name w:val="WW8Num5z0"/>
    <w:qFormat/>
    <w:rsid w:val="005f7ef4"/>
    <w:rPr>
      <w:rFonts w:ascii="Symbol" w:hAnsi="Symbol" w:cs="Symbol"/>
    </w:rPr>
  </w:style>
  <w:style w:type="character" w:styleId="WW8Num6z0" w:customStyle="1">
    <w:name w:val="WW8Num6z0"/>
    <w:qFormat/>
    <w:rsid w:val="005f7ef4"/>
    <w:rPr>
      <w:rFonts w:ascii="Calibri" w:hAnsi="Calibri" w:cs="Calibri"/>
      <w:sz w:val="22"/>
    </w:rPr>
  </w:style>
  <w:style w:type="character" w:styleId="WW8Num7z0" w:customStyle="1">
    <w:name w:val="WW8Num7z0"/>
    <w:qFormat/>
    <w:rsid w:val="005f7ef4"/>
    <w:rPr>
      <w:rFonts w:ascii="Symbol" w:hAnsi="Symbol" w:cs="Symbol"/>
    </w:rPr>
  </w:style>
  <w:style w:type="character" w:styleId="WW8Num7z1" w:customStyle="1">
    <w:name w:val="WW8Num7z1"/>
    <w:qFormat/>
    <w:rsid w:val="005f7ef4"/>
    <w:rPr>
      <w:rFonts w:ascii="Courier New" w:hAnsi="Courier New" w:cs="Courier New"/>
    </w:rPr>
  </w:style>
  <w:style w:type="character" w:styleId="WW8Num7z2" w:customStyle="1">
    <w:name w:val="WW8Num7z2"/>
    <w:qFormat/>
    <w:rsid w:val="005f7ef4"/>
    <w:rPr>
      <w:rFonts w:ascii="Wingdings" w:hAnsi="Wingdings" w:cs="Wingdings"/>
    </w:rPr>
  </w:style>
  <w:style w:type="character" w:styleId="WW8Num8z0" w:customStyle="1">
    <w:name w:val="WW8Num8z0"/>
    <w:qFormat/>
    <w:rsid w:val="005f7ef4"/>
    <w:rPr>
      <w:rFonts w:ascii="Symbol" w:hAnsi="Symbol" w:cs="Symbol"/>
      <w:sz w:val="22"/>
    </w:rPr>
  </w:style>
  <w:style w:type="character" w:styleId="WW8Num9z0" w:customStyle="1">
    <w:name w:val="WW8Num9z0"/>
    <w:qFormat/>
    <w:rsid w:val="005f7ef4"/>
    <w:rPr>
      <w:rFonts w:ascii="Times New Roman" w:hAnsi="Times New Roman" w:cs="Times New Roman"/>
      <w:sz w:val="22"/>
    </w:rPr>
  </w:style>
  <w:style w:type="character" w:styleId="WW8Num10z0" w:customStyle="1">
    <w:name w:val="WW8Num10z0"/>
    <w:qFormat/>
    <w:rsid w:val="005f7ef4"/>
    <w:rPr>
      <w:rFonts w:ascii="Wingdings" w:hAnsi="Wingdings" w:cs="Wingdings"/>
      <w:sz w:val="22"/>
    </w:rPr>
  </w:style>
  <w:style w:type="character" w:styleId="WW8Num11z0" w:customStyle="1">
    <w:name w:val="WW8Num11z0"/>
    <w:qFormat/>
    <w:rsid w:val="005f7ef4"/>
    <w:rPr>
      <w:rFonts w:ascii="Symbol" w:hAnsi="Symbol" w:cs="Symbol"/>
      <w:sz w:val="22"/>
    </w:rPr>
  </w:style>
  <w:style w:type="character" w:styleId="WW8Num12z0" w:customStyle="1">
    <w:name w:val="WW8Num12z0"/>
    <w:qFormat/>
    <w:rsid w:val="005f7ef4"/>
    <w:rPr>
      <w:rFonts w:ascii="Wingdings" w:hAnsi="Wingdings" w:cs="Wingdings"/>
      <w:sz w:val="22"/>
    </w:rPr>
  </w:style>
  <w:style w:type="character" w:styleId="WW8Num13z0" w:customStyle="1">
    <w:name w:val="WW8Num13z0"/>
    <w:qFormat/>
    <w:rsid w:val="005f7ef4"/>
    <w:rPr>
      <w:rFonts w:ascii="Times New Roman" w:hAnsi="Times New Roman" w:cs="Times New Roman"/>
      <w:sz w:val="22"/>
    </w:rPr>
  </w:style>
  <w:style w:type="character" w:styleId="WW8Num14z0" w:customStyle="1">
    <w:name w:val="WW8Num14z0"/>
    <w:qFormat/>
    <w:rsid w:val="005f7ef4"/>
    <w:rPr>
      <w:rFonts w:ascii="Symbol" w:hAnsi="Symbol" w:cs="Symbol"/>
      <w:sz w:val="22"/>
    </w:rPr>
  </w:style>
  <w:style w:type="character" w:styleId="WW8Num15z0" w:customStyle="1">
    <w:name w:val="WW8Num15z0"/>
    <w:qFormat/>
    <w:rsid w:val="005f7ef4"/>
    <w:rPr>
      <w:rFonts w:ascii="Wingdings" w:hAnsi="Wingdings" w:cs="Wingdings"/>
      <w:sz w:val="22"/>
    </w:rPr>
  </w:style>
  <w:style w:type="character" w:styleId="WW8Num16z0" w:customStyle="1">
    <w:name w:val="WW8Num16z0"/>
    <w:qFormat/>
    <w:rsid w:val="005f7ef4"/>
    <w:rPr>
      <w:rFonts w:ascii="Symbol" w:hAnsi="Symbol" w:cs="Symbol"/>
      <w:sz w:val="20"/>
    </w:rPr>
  </w:style>
  <w:style w:type="character" w:styleId="WW8Num17z0" w:customStyle="1">
    <w:name w:val="WW8Num17z0"/>
    <w:qFormat/>
    <w:rsid w:val="005f7ef4"/>
    <w:rPr>
      <w:rFonts w:ascii="Symbol" w:hAnsi="Symbol" w:cs="Symbol"/>
      <w:sz w:val="22"/>
    </w:rPr>
  </w:style>
  <w:style w:type="character" w:styleId="WW8Num18z0" w:customStyle="1">
    <w:name w:val="WW8Num18z0"/>
    <w:qFormat/>
    <w:rsid w:val="005f7ef4"/>
    <w:rPr>
      <w:rFonts w:ascii="Symbol" w:hAnsi="Symbol" w:cs="Symbol"/>
    </w:rPr>
  </w:style>
  <w:style w:type="character" w:styleId="WW8Num19z0" w:customStyle="1">
    <w:name w:val="WW8Num19z0"/>
    <w:qFormat/>
    <w:rsid w:val="005f7ef4"/>
    <w:rPr>
      <w:rFonts w:ascii="Symbol" w:hAnsi="Symbol" w:cs="Symbol"/>
      <w:sz w:val="20"/>
    </w:rPr>
  </w:style>
  <w:style w:type="character" w:styleId="WW8Num20z0" w:customStyle="1">
    <w:name w:val="WW8Num20z0"/>
    <w:qFormat/>
    <w:rsid w:val="005f7ef4"/>
    <w:rPr>
      <w:rFonts w:ascii="Symbol" w:hAnsi="Symbol" w:cs="Symbol"/>
      <w:sz w:val="20"/>
      <w:szCs w:val="20"/>
    </w:rPr>
  </w:style>
  <w:style w:type="character" w:styleId="WW8Num21z0" w:customStyle="1">
    <w:name w:val="WW8Num21z0"/>
    <w:qFormat/>
    <w:rsid w:val="005f7ef4"/>
    <w:rPr>
      <w:rFonts w:ascii="Symbol" w:hAnsi="Symbol" w:cs="Symbol"/>
      <w:sz w:val="20"/>
    </w:rPr>
  </w:style>
  <w:style w:type="character" w:styleId="WW8Num22z0" w:customStyle="1">
    <w:name w:val="WW8Num22z0"/>
    <w:qFormat/>
    <w:rsid w:val="005f7ef4"/>
    <w:rPr>
      <w:rFonts w:ascii="Times New Roman" w:hAnsi="Times New Roman" w:cs="Times New Roman"/>
    </w:rPr>
  </w:style>
  <w:style w:type="character" w:styleId="WW8Num23z0" w:customStyle="1">
    <w:name w:val="WW8Num23z0"/>
    <w:qFormat/>
    <w:rsid w:val="005f7ef4"/>
    <w:rPr>
      <w:rFonts w:ascii="Symbol" w:hAnsi="Symbol" w:cs="Symbol"/>
      <w:sz w:val="20"/>
    </w:rPr>
  </w:style>
  <w:style w:type="character" w:styleId="WW8Num24z0" w:customStyle="1">
    <w:name w:val="WW8Num24z0"/>
    <w:qFormat/>
    <w:rsid w:val="005f7ef4"/>
    <w:rPr>
      <w:rFonts w:ascii="Symbol" w:hAnsi="Symbol" w:cs="Symbol"/>
      <w:sz w:val="22"/>
      <w:szCs w:val="22"/>
    </w:rPr>
  </w:style>
  <w:style w:type="character" w:styleId="WW8Num25z0" w:customStyle="1">
    <w:name w:val="WW8Num25z0"/>
    <w:qFormat/>
    <w:rsid w:val="005f7ef4"/>
    <w:rPr>
      <w:rFonts w:ascii="Times New Roman" w:hAnsi="Times New Roman" w:cs="Times New Roman"/>
      <w:sz w:val="22"/>
    </w:rPr>
  </w:style>
  <w:style w:type="character" w:styleId="WW8Num25z1" w:customStyle="1">
    <w:name w:val="WW8Num25z1"/>
    <w:qFormat/>
    <w:rsid w:val="005f7ef4"/>
    <w:rPr>
      <w:rFonts w:ascii="Calibri" w:hAnsi="Calibri" w:cs="Times New Roman"/>
      <w:color w:val="FF0000"/>
      <w:sz w:val="22"/>
    </w:rPr>
  </w:style>
  <w:style w:type="character" w:styleId="WW8Num25z2" w:customStyle="1">
    <w:name w:val="WW8Num25z2"/>
    <w:qFormat/>
    <w:rsid w:val="005f7ef4"/>
    <w:rPr>
      <w:rFonts w:ascii="Wingdings" w:hAnsi="Wingdings" w:cs="Wingdings"/>
    </w:rPr>
  </w:style>
  <w:style w:type="character" w:styleId="WW8Num25z3" w:customStyle="1">
    <w:name w:val="WW8Num25z3"/>
    <w:qFormat/>
    <w:rsid w:val="005f7ef4"/>
    <w:rPr>
      <w:rFonts w:ascii="Symbol" w:hAnsi="Symbol" w:cs="Symbol"/>
    </w:rPr>
  </w:style>
  <w:style w:type="character" w:styleId="WW8Num25z4" w:customStyle="1">
    <w:name w:val="WW8Num25z4"/>
    <w:qFormat/>
    <w:rsid w:val="005f7ef4"/>
    <w:rPr>
      <w:rFonts w:ascii="Courier New" w:hAnsi="Courier New" w:cs="Courier New"/>
    </w:rPr>
  </w:style>
  <w:style w:type="character" w:styleId="WW8Num26z0" w:customStyle="1">
    <w:name w:val="WW8Num26z0"/>
    <w:qFormat/>
    <w:rsid w:val="005f7ef4"/>
    <w:rPr>
      <w:rFonts w:ascii="Symbol" w:hAnsi="Symbol" w:cs="Symbol"/>
    </w:rPr>
  </w:style>
  <w:style w:type="character" w:styleId="WW8Num27z0" w:customStyle="1">
    <w:name w:val="WW8Num27z0"/>
    <w:qFormat/>
    <w:rsid w:val="005f7ef4"/>
    <w:rPr>
      <w:rFonts w:ascii="Calibri" w:hAnsi="Calibri" w:cs="Calibri"/>
      <w:sz w:val="22"/>
    </w:rPr>
  </w:style>
  <w:style w:type="character" w:styleId="WW8Num2z1" w:customStyle="1">
    <w:name w:val="WW8Num2z1"/>
    <w:qFormat/>
    <w:rsid w:val="005f7ef4"/>
    <w:rPr>
      <w:rFonts w:ascii="Courier New" w:hAnsi="Courier New" w:cs="Courier New"/>
    </w:rPr>
  </w:style>
  <w:style w:type="character" w:styleId="WW8Num2z2" w:customStyle="1">
    <w:name w:val="WW8Num2z2"/>
    <w:qFormat/>
    <w:rsid w:val="005f7ef4"/>
    <w:rPr>
      <w:rFonts w:ascii="Wingdings" w:hAnsi="Wingdings" w:cs="Wingdings"/>
    </w:rPr>
  </w:style>
  <w:style w:type="character" w:styleId="WW8Num3z1" w:customStyle="1">
    <w:name w:val="WW8Num3z1"/>
    <w:qFormat/>
    <w:rsid w:val="005f7ef4"/>
    <w:rPr>
      <w:rFonts w:ascii="Courier New" w:hAnsi="Courier New" w:cs="Courier New"/>
    </w:rPr>
  </w:style>
  <w:style w:type="character" w:styleId="WW8Num3z2" w:customStyle="1">
    <w:name w:val="WW8Num3z2"/>
    <w:qFormat/>
    <w:rsid w:val="005f7ef4"/>
    <w:rPr>
      <w:rFonts w:ascii="Wingdings" w:hAnsi="Wingdings" w:cs="Wingdings"/>
    </w:rPr>
  </w:style>
  <w:style w:type="character" w:styleId="WW8Num4z1" w:customStyle="1">
    <w:name w:val="WW8Num4z1"/>
    <w:qFormat/>
    <w:rsid w:val="005f7ef4"/>
    <w:rPr>
      <w:rFonts w:ascii="Courier New" w:hAnsi="Courier New" w:cs="Courier New"/>
    </w:rPr>
  </w:style>
  <w:style w:type="character" w:styleId="WW8Num4z2" w:customStyle="1">
    <w:name w:val="WW8Num4z2"/>
    <w:qFormat/>
    <w:rsid w:val="005f7ef4"/>
    <w:rPr>
      <w:rFonts w:ascii="Wingdings" w:hAnsi="Wingdings" w:cs="Wingdings"/>
    </w:rPr>
  </w:style>
  <w:style w:type="character" w:styleId="WW8Num5z1" w:customStyle="1">
    <w:name w:val="WW8Num5z1"/>
    <w:qFormat/>
    <w:rsid w:val="005f7ef4"/>
    <w:rPr>
      <w:rFonts w:ascii="Courier New" w:hAnsi="Courier New" w:cs="Courier New"/>
    </w:rPr>
  </w:style>
  <w:style w:type="character" w:styleId="WW8Num5z2" w:customStyle="1">
    <w:name w:val="WW8Num5z2"/>
    <w:qFormat/>
    <w:rsid w:val="005f7ef4"/>
    <w:rPr>
      <w:rFonts w:ascii="Wingdings" w:hAnsi="Wingdings" w:cs="Wingdings"/>
    </w:rPr>
  </w:style>
  <w:style w:type="character" w:styleId="WW8Num6z1" w:customStyle="1">
    <w:name w:val="WW8Num6z1"/>
    <w:qFormat/>
    <w:rsid w:val="005f7ef4"/>
    <w:rPr/>
  </w:style>
  <w:style w:type="character" w:styleId="WW8Num6z2" w:customStyle="1">
    <w:name w:val="WW8Num6z2"/>
    <w:qFormat/>
    <w:rsid w:val="005f7ef4"/>
    <w:rPr/>
  </w:style>
  <w:style w:type="character" w:styleId="WW8Num6z3" w:customStyle="1">
    <w:name w:val="WW8Num6z3"/>
    <w:qFormat/>
    <w:rsid w:val="005f7ef4"/>
    <w:rPr/>
  </w:style>
  <w:style w:type="character" w:styleId="WW8Num6z4" w:customStyle="1">
    <w:name w:val="WW8Num6z4"/>
    <w:qFormat/>
    <w:rsid w:val="005f7ef4"/>
    <w:rPr/>
  </w:style>
  <w:style w:type="character" w:styleId="WW8Num6z5" w:customStyle="1">
    <w:name w:val="WW8Num6z5"/>
    <w:qFormat/>
    <w:rsid w:val="005f7ef4"/>
    <w:rPr/>
  </w:style>
  <w:style w:type="character" w:styleId="WW8Num6z6" w:customStyle="1">
    <w:name w:val="WW8Num6z6"/>
    <w:qFormat/>
    <w:rsid w:val="005f7ef4"/>
    <w:rPr/>
  </w:style>
  <w:style w:type="character" w:styleId="WW8Num6z7" w:customStyle="1">
    <w:name w:val="WW8Num6z7"/>
    <w:qFormat/>
    <w:rsid w:val="005f7ef4"/>
    <w:rPr/>
  </w:style>
  <w:style w:type="character" w:styleId="WW8Num6z8" w:customStyle="1">
    <w:name w:val="WW8Num6z8"/>
    <w:qFormat/>
    <w:rsid w:val="005f7ef4"/>
    <w:rPr/>
  </w:style>
  <w:style w:type="character" w:styleId="WW8Num7z3" w:customStyle="1">
    <w:name w:val="WW8Num7z3"/>
    <w:qFormat/>
    <w:rsid w:val="005f7ef4"/>
    <w:rPr/>
  </w:style>
  <w:style w:type="character" w:styleId="WW8Num7z4" w:customStyle="1">
    <w:name w:val="WW8Num7z4"/>
    <w:qFormat/>
    <w:rsid w:val="005f7ef4"/>
    <w:rPr/>
  </w:style>
  <w:style w:type="character" w:styleId="WW8Num7z5" w:customStyle="1">
    <w:name w:val="WW8Num7z5"/>
    <w:qFormat/>
    <w:rsid w:val="005f7ef4"/>
    <w:rPr/>
  </w:style>
  <w:style w:type="character" w:styleId="WW8Num7z6" w:customStyle="1">
    <w:name w:val="WW8Num7z6"/>
    <w:qFormat/>
    <w:rsid w:val="005f7ef4"/>
    <w:rPr/>
  </w:style>
  <w:style w:type="character" w:styleId="WW8Num7z7" w:customStyle="1">
    <w:name w:val="WW8Num7z7"/>
    <w:qFormat/>
    <w:rsid w:val="005f7ef4"/>
    <w:rPr/>
  </w:style>
  <w:style w:type="character" w:styleId="WW8Num7z8" w:customStyle="1">
    <w:name w:val="WW8Num7z8"/>
    <w:qFormat/>
    <w:rsid w:val="005f7ef4"/>
    <w:rPr/>
  </w:style>
  <w:style w:type="character" w:styleId="WW8Num8z1" w:customStyle="1">
    <w:name w:val="WW8Num8z1"/>
    <w:qFormat/>
    <w:rsid w:val="005f7ef4"/>
    <w:rPr/>
  </w:style>
  <w:style w:type="character" w:styleId="WW8Num8z2" w:customStyle="1">
    <w:name w:val="WW8Num8z2"/>
    <w:qFormat/>
    <w:rsid w:val="005f7ef4"/>
    <w:rPr/>
  </w:style>
  <w:style w:type="character" w:styleId="WW8Num8z3" w:customStyle="1">
    <w:name w:val="WW8Num8z3"/>
    <w:qFormat/>
    <w:rsid w:val="005f7ef4"/>
    <w:rPr/>
  </w:style>
  <w:style w:type="character" w:styleId="WW8Num8z4" w:customStyle="1">
    <w:name w:val="WW8Num8z4"/>
    <w:qFormat/>
    <w:rsid w:val="005f7ef4"/>
    <w:rPr/>
  </w:style>
  <w:style w:type="character" w:styleId="WW8Num8z5" w:customStyle="1">
    <w:name w:val="WW8Num8z5"/>
    <w:qFormat/>
    <w:rsid w:val="005f7ef4"/>
    <w:rPr/>
  </w:style>
  <w:style w:type="character" w:styleId="WW8Num8z6" w:customStyle="1">
    <w:name w:val="WW8Num8z6"/>
    <w:qFormat/>
    <w:rsid w:val="005f7ef4"/>
    <w:rPr/>
  </w:style>
  <w:style w:type="character" w:styleId="WW8Num8z7" w:customStyle="1">
    <w:name w:val="WW8Num8z7"/>
    <w:qFormat/>
    <w:rsid w:val="005f7ef4"/>
    <w:rPr/>
  </w:style>
  <w:style w:type="character" w:styleId="WW8Num8z8" w:customStyle="1">
    <w:name w:val="WW8Num8z8"/>
    <w:qFormat/>
    <w:rsid w:val="005f7ef4"/>
    <w:rPr/>
  </w:style>
  <w:style w:type="character" w:styleId="WW8Num9z1" w:customStyle="1">
    <w:name w:val="WW8Num9z1"/>
    <w:qFormat/>
    <w:rsid w:val="005f7ef4"/>
    <w:rPr>
      <w:rFonts w:ascii="Courier New" w:hAnsi="Courier New" w:cs="Courier New"/>
    </w:rPr>
  </w:style>
  <w:style w:type="character" w:styleId="WW8Num9z2" w:customStyle="1">
    <w:name w:val="WW8Num9z2"/>
    <w:qFormat/>
    <w:rsid w:val="005f7ef4"/>
    <w:rPr>
      <w:rFonts w:ascii="Wingdings" w:hAnsi="Wingdings" w:cs="Wingdings"/>
    </w:rPr>
  </w:style>
  <w:style w:type="character" w:styleId="WW8Num10z1" w:customStyle="1">
    <w:name w:val="WW8Num10z1"/>
    <w:qFormat/>
    <w:rsid w:val="005f7ef4"/>
    <w:rPr/>
  </w:style>
  <w:style w:type="character" w:styleId="WW8Num10z2" w:customStyle="1">
    <w:name w:val="WW8Num10z2"/>
    <w:qFormat/>
    <w:rsid w:val="005f7ef4"/>
    <w:rPr/>
  </w:style>
  <w:style w:type="character" w:styleId="WW8Num10z3" w:customStyle="1">
    <w:name w:val="WW8Num10z3"/>
    <w:qFormat/>
    <w:rsid w:val="005f7ef4"/>
    <w:rPr/>
  </w:style>
  <w:style w:type="character" w:styleId="WW8Num10z4" w:customStyle="1">
    <w:name w:val="WW8Num10z4"/>
    <w:qFormat/>
    <w:rsid w:val="005f7ef4"/>
    <w:rPr/>
  </w:style>
  <w:style w:type="character" w:styleId="WW8Num10z5" w:customStyle="1">
    <w:name w:val="WW8Num10z5"/>
    <w:qFormat/>
    <w:rsid w:val="005f7ef4"/>
    <w:rPr/>
  </w:style>
  <w:style w:type="character" w:styleId="WW8Num10z6" w:customStyle="1">
    <w:name w:val="WW8Num10z6"/>
    <w:qFormat/>
    <w:rsid w:val="005f7ef4"/>
    <w:rPr/>
  </w:style>
  <w:style w:type="character" w:styleId="WW8Num10z7" w:customStyle="1">
    <w:name w:val="WW8Num10z7"/>
    <w:qFormat/>
    <w:rsid w:val="005f7ef4"/>
    <w:rPr/>
  </w:style>
  <w:style w:type="character" w:styleId="WW8Num10z8" w:customStyle="1">
    <w:name w:val="WW8Num10z8"/>
    <w:qFormat/>
    <w:rsid w:val="005f7ef4"/>
    <w:rPr/>
  </w:style>
  <w:style w:type="character" w:styleId="WW8Num11z1" w:customStyle="1">
    <w:name w:val="WW8Num11z1"/>
    <w:qFormat/>
    <w:rsid w:val="005f7ef4"/>
    <w:rPr>
      <w:rFonts w:ascii="Courier New" w:hAnsi="Courier New" w:cs="Courier New"/>
    </w:rPr>
  </w:style>
  <w:style w:type="character" w:styleId="WW8Num11z2" w:customStyle="1">
    <w:name w:val="WW8Num11z2"/>
    <w:qFormat/>
    <w:rsid w:val="005f7ef4"/>
    <w:rPr>
      <w:rFonts w:ascii="Wingdings" w:hAnsi="Wingdings" w:cs="Wingdings"/>
    </w:rPr>
  </w:style>
  <w:style w:type="character" w:styleId="WW8Num12z1" w:customStyle="1">
    <w:name w:val="WW8Num12z1"/>
    <w:qFormat/>
    <w:rsid w:val="005f7ef4"/>
    <w:rPr/>
  </w:style>
  <w:style w:type="character" w:styleId="WW8Num12z2" w:customStyle="1">
    <w:name w:val="WW8Num12z2"/>
    <w:qFormat/>
    <w:rsid w:val="005f7ef4"/>
    <w:rPr/>
  </w:style>
  <w:style w:type="character" w:styleId="WW8Num12z3" w:customStyle="1">
    <w:name w:val="WW8Num12z3"/>
    <w:qFormat/>
    <w:rsid w:val="005f7ef4"/>
    <w:rPr/>
  </w:style>
  <w:style w:type="character" w:styleId="WW8Num12z4" w:customStyle="1">
    <w:name w:val="WW8Num12z4"/>
    <w:qFormat/>
    <w:rsid w:val="005f7ef4"/>
    <w:rPr/>
  </w:style>
  <w:style w:type="character" w:styleId="WW8Num12z5" w:customStyle="1">
    <w:name w:val="WW8Num12z5"/>
    <w:qFormat/>
    <w:rsid w:val="005f7ef4"/>
    <w:rPr/>
  </w:style>
  <w:style w:type="character" w:styleId="WW8Num12z6" w:customStyle="1">
    <w:name w:val="WW8Num12z6"/>
    <w:qFormat/>
    <w:rsid w:val="005f7ef4"/>
    <w:rPr/>
  </w:style>
  <w:style w:type="character" w:styleId="WW8Num12z7" w:customStyle="1">
    <w:name w:val="WW8Num12z7"/>
    <w:qFormat/>
    <w:rsid w:val="005f7ef4"/>
    <w:rPr/>
  </w:style>
  <w:style w:type="character" w:styleId="WW8Num12z8" w:customStyle="1">
    <w:name w:val="WW8Num12z8"/>
    <w:qFormat/>
    <w:rsid w:val="005f7ef4"/>
    <w:rPr/>
  </w:style>
  <w:style w:type="character" w:styleId="WW8Num13z1" w:customStyle="1">
    <w:name w:val="WW8Num13z1"/>
    <w:qFormat/>
    <w:rsid w:val="005f7ef4"/>
    <w:rPr/>
  </w:style>
  <w:style w:type="character" w:styleId="WW8Num13z2" w:customStyle="1">
    <w:name w:val="WW8Num13z2"/>
    <w:qFormat/>
    <w:rsid w:val="005f7ef4"/>
    <w:rPr/>
  </w:style>
  <w:style w:type="character" w:styleId="WW8Num13z3" w:customStyle="1">
    <w:name w:val="WW8Num13z3"/>
    <w:qFormat/>
    <w:rsid w:val="005f7ef4"/>
    <w:rPr/>
  </w:style>
  <w:style w:type="character" w:styleId="WW8Num13z4" w:customStyle="1">
    <w:name w:val="WW8Num13z4"/>
    <w:qFormat/>
    <w:rsid w:val="005f7ef4"/>
    <w:rPr/>
  </w:style>
  <w:style w:type="character" w:styleId="WW8Num13z5" w:customStyle="1">
    <w:name w:val="WW8Num13z5"/>
    <w:qFormat/>
    <w:rsid w:val="005f7ef4"/>
    <w:rPr/>
  </w:style>
  <w:style w:type="character" w:styleId="WW8Num13z6" w:customStyle="1">
    <w:name w:val="WW8Num13z6"/>
    <w:qFormat/>
    <w:rsid w:val="005f7ef4"/>
    <w:rPr/>
  </w:style>
  <w:style w:type="character" w:styleId="WW8Num13z7" w:customStyle="1">
    <w:name w:val="WW8Num13z7"/>
    <w:qFormat/>
    <w:rsid w:val="005f7ef4"/>
    <w:rPr/>
  </w:style>
  <w:style w:type="character" w:styleId="WW8Num13z8" w:customStyle="1">
    <w:name w:val="WW8Num13z8"/>
    <w:qFormat/>
    <w:rsid w:val="005f7ef4"/>
    <w:rPr/>
  </w:style>
  <w:style w:type="character" w:styleId="WW8Num14z2" w:customStyle="1">
    <w:name w:val="WW8Num14z2"/>
    <w:qFormat/>
    <w:rsid w:val="005f7ef4"/>
    <w:rPr/>
  </w:style>
  <w:style w:type="character" w:styleId="WW8Num14z3" w:customStyle="1">
    <w:name w:val="WW8Num14z3"/>
    <w:qFormat/>
    <w:rsid w:val="005f7ef4"/>
    <w:rPr/>
  </w:style>
  <w:style w:type="character" w:styleId="WW8Num14z4" w:customStyle="1">
    <w:name w:val="WW8Num14z4"/>
    <w:qFormat/>
    <w:rsid w:val="005f7ef4"/>
    <w:rPr/>
  </w:style>
  <w:style w:type="character" w:styleId="WW8Num14z5" w:customStyle="1">
    <w:name w:val="WW8Num14z5"/>
    <w:qFormat/>
    <w:rsid w:val="005f7ef4"/>
    <w:rPr/>
  </w:style>
  <w:style w:type="character" w:styleId="WW8Num14z6" w:customStyle="1">
    <w:name w:val="WW8Num14z6"/>
    <w:qFormat/>
    <w:rsid w:val="005f7ef4"/>
    <w:rPr/>
  </w:style>
  <w:style w:type="character" w:styleId="WW8Num14z7" w:customStyle="1">
    <w:name w:val="WW8Num14z7"/>
    <w:qFormat/>
    <w:rsid w:val="005f7ef4"/>
    <w:rPr/>
  </w:style>
  <w:style w:type="character" w:styleId="WW8Num14z8" w:customStyle="1">
    <w:name w:val="WW8Num14z8"/>
    <w:qFormat/>
    <w:rsid w:val="005f7ef4"/>
    <w:rPr/>
  </w:style>
  <w:style w:type="character" w:styleId="WW8Num15z1" w:customStyle="1">
    <w:name w:val="WW8Num15z1"/>
    <w:qFormat/>
    <w:rsid w:val="005f7ef4"/>
    <w:rPr>
      <w:rFonts w:ascii="Courier New" w:hAnsi="Courier New" w:cs="Courier New"/>
    </w:rPr>
  </w:style>
  <w:style w:type="character" w:styleId="WW8Num15z2" w:customStyle="1">
    <w:name w:val="WW8Num15z2"/>
    <w:qFormat/>
    <w:rsid w:val="005f7ef4"/>
    <w:rPr>
      <w:rFonts w:ascii="Wingdings" w:hAnsi="Wingdings" w:cs="Wingdings"/>
    </w:rPr>
  </w:style>
  <w:style w:type="character" w:styleId="WW8Num16z1" w:customStyle="1">
    <w:name w:val="WW8Num16z1"/>
    <w:qFormat/>
    <w:rsid w:val="005f7ef4"/>
    <w:rPr/>
  </w:style>
  <w:style w:type="character" w:styleId="WW8Num16z2" w:customStyle="1">
    <w:name w:val="WW8Num16z2"/>
    <w:qFormat/>
    <w:rsid w:val="005f7ef4"/>
    <w:rPr/>
  </w:style>
  <w:style w:type="character" w:styleId="WW8Num16z3" w:customStyle="1">
    <w:name w:val="WW8Num16z3"/>
    <w:qFormat/>
    <w:rsid w:val="005f7ef4"/>
    <w:rPr/>
  </w:style>
  <w:style w:type="character" w:styleId="WW8Num16z4" w:customStyle="1">
    <w:name w:val="WW8Num16z4"/>
    <w:qFormat/>
    <w:rsid w:val="005f7ef4"/>
    <w:rPr/>
  </w:style>
  <w:style w:type="character" w:styleId="WW8Num16z5" w:customStyle="1">
    <w:name w:val="WW8Num16z5"/>
    <w:qFormat/>
    <w:rsid w:val="005f7ef4"/>
    <w:rPr/>
  </w:style>
  <w:style w:type="character" w:styleId="WW8Num16z6" w:customStyle="1">
    <w:name w:val="WW8Num16z6"/>
    <w:qFormat/>
    <w:rsid w:val="005f7ef4"/>
    <w:rPr/>
  </w:style>
  <w:style w:type="character" w:styleId="WW8Num16z7" w:customStyle="1">
    <w:name w:val="WW8Num16z7"/>
    <w:qFormat/>
    <w:rsid w:val="005f7ef4"/>
    <w:rPr/>
  </w:style>
  <w:style w:type="character" w:styleId="WW8Num16z8" w:customStyle="1">
    <w:name w:val="WW8Num16z8"/>
    <w:qFormat/>
    <w:rsid w:val="005f7ef4"/>
    <w:rPr/>
  </w:style>
  <w:style w:type="character" w:styleId="WW8Num17z1" w:customStyle="1">
    <w:name w:val="WW8Num17z1"/>
    <w:qFormat/>
    <w:rsid w:val="005f7ef4"/>
    <w:rPr>
      <w:rFonts w:ascii="Courier New" w:hAnsi="Courier New" w:cs="Courier New"/>
    </w:rPr>
  </w:style>
  <w:style w:type="character" w:styleId="WW8Num17z2" w:customStyle="1">
    <w:name w:val="WW8Num17z2"/>
    <w:qFormat/>
    <w:rsid w:val="005f7ef4"/>
    <w:rPr>
      <w:rFonts w:ascii="Wingdings" w:hAnsi="Wingdings" w:cs="Wingdings"/>
    </w:rPr>
  </w:style>
  <w:style w:type="character" w:styleId="WW8Num18z1" w:customStyle="1">
    <w:name w:val="WW8Num18z1"/>
    <w:qFormat/>
    <w:rsid w:val="005f7ef4"/>
    <w:rPr>
      <w:rFonts w:ascii="Courier New" w:hAnsi="Courier New" w:cs="Courier New"/>
    </w:rPr>
  </w:style>
  <w:style w:type="character" w:styleId="WW8Num18z2" w:customStyle="1">
    <w:name w:val="WW8Num18z2"/>
    <w:qFormat/>
    <w:rsid w:val="005f7ef4"/>
    <w:rPr>
      <w:rFonts w:ascii="Wingdings" w:hAnsi="Wingdings" w:cs="Wingdings"/>
    </w:rPr>
  </w:style>
  <w:style w:type="character" w:styleId="WW8Num18z3" w:customStyle="1">
    <w:name w:val="WW8Num18z3"/>
    <w:qFormat/>
    <w:rsid w:val="005f7ef4"/>
    <w:rPr>
      <w:rFonts w:ascii="Symbol" w:hAnsi="Symbol" w:cs="Symbol"/>
    </w:rPr>
  </w:style>
  <w:style w:type="character" w:styleId="WW8Num19z1" w:customStyle="1">
    <w:name w:val="WW8Num19z1"/>
    <w:qFormat/>
    <w:rsid w:val="005f7ef4"/>
    <w:rPr/>
  </w:style>
  <w:style w:type="character" w:styleId="WW8Num19z2" w:customStyle="1">
    <w:name w:val="WW8Num19z2"/>
    <w:qFormat/>
    <w:rsid w:val="005f7ef4"/>
    <w:rPr/>
  </w:style>
  <w:style w:type="character" w:styleId="WW8Num19z3" w:customStyle="1">
    <w:name w:val="WW8Num19z3"/>
    <w:qFormat/>
    <w:rsid w:val="005f7ef4"/>
    <w:rPr/>
  </w:style>
  <w:style w:type="character" w:styleId="WW8Num19z4" w:customStyle="1">
    <w:name w:val="WW8Num19z4"/>
    <w:qFormat/>
    <w:rsid w:val="005f7ef4"/>
    <w:rPr/>
  </w:style>
  <w:style w:type="character" w:styleId="WW8Num19z5" w:customStyle="1">
    <w:name w:val="WW8Num19z5"/>
    <w:qFormat/>
    <w:rsid w:val="005f7ef4"/>
    <w:rPr/>
  </w:style>
  <w:style w:type="character" w:styleId="WW8Num19z6" w:customStyle="1">
    <w:name w:val="WW8Num19z6"/>
    <w:qFormat/>
    <w:rsid w:val="005f7ef4"/>
    <w:rPr/>
  </w:style>
  <w:style w:type="character" w:styleId="WW8Num19z7" w:customStyle="1">
    <w:name w:val="WW8Num19z7"/>
    <w:qFormat/>
    <w:rsid w:val="005f7ef4"/>
    <w:rPr/>
  </w:style>
  <w:style w:type="character" w:styleId="WW8Num19z8" w:customStyle="1">
    <w:name w:val="WW8Num19z8"/>
    <w:qFormat/>
    <w:rsid w:val="005f7ef4"/>
    <w:rPr/>
  </w:style>
  <w:style w:type="character" w:styleId="WW8Num20z1" w:customStyle="1">
    <w:name w:val="WW8Num20z1"/>
    <w:qFormat/>
    <w:rsid w:val="005f7ef4"/>
    <w:rPr>
      <w:rFonts w:ascii="Courier New" w:hAnsi="Courier New" w:cs="Courier New"/>
    </w:rPr>
  </w:style>
  <w:style w:type="character" w:styleId="WW8Num20z3" w:customStyle="1">
    <w:name w:val="WW8Num20z3"/>
    <w:qFormat/>
    <w:rsid w:val="005f7ef4"/>
    <w:rPr>
      <w:rFonts w:ascii="Symbol" w:hAnsi="Symbol" w:cs="Symbol"/>
    </w:rPr>
  </w:style>
  <w:style w:type="character" w:styleId="WW8Num21z1" w:customStyle="1">
    <w:name w:val="WW8Num21z1"/>
    <w:qFormat/>
    <w:rsid w:val="005f7ef4"/>
    <w:rPr>
      <w:rFonts w:ascii="Courier New" w:hAnsi="Courier New" w:cs="Courier New"/>
    </w:rPr>
  </w:style>
  <w:style w:type="character" w:styleId="WW8Num21z3" w:customStyle="1">
    <w:name w:val="WW8Num21z3"/>
    <w:qFormat/>
    <w:rsid w:val="005f7ef4"/>
    <w:rPr>
      <w:rFonts w:ascii="Symbol" w:hAnsi="Symbol" w:cs="Symbol"/>
    </w:rPr>
  </w:style>
  <w:style w:type="character" w:styleId="WW8Num22z1" w:customStyle="1">
    <w:name w:val="WW8Num22z1"/>
    <w:qFormat/>
    <w:rsid w:val="005f7ef4"/>
    <w:rPr>
      <w:rFonts w:ascii="Courier New" w:hAnsi="Courier New" w:cs="Courier New"/>
    </w:rPr>
  </w:style>
  <w:style w:type="character" w:styleId="WW8Num22z2" w:customStyle="1">
    <w:name w:val="WW8Num22z2"/>
    <w:qFormat/>
    <w:rsid w:val="005f7ef4"/>
    <w:rPr>
      <w:rFonts w:ascii="Wingdings" w:hAnsi="Wingdings" w:cs="Wingdings"/>
    </w:rPr>
  </w:style>
  <w:style w:type="character" w:styleId="WW8Num23z1" w:customStyle="1">
    <w:name w:val="WW8Num23z1"/>
    <w:qFormat/>
    <w:rsid w:val="005f7ef4"/>
    <w:rPr/>
  </w:style>
  <w:style w:type="character" w:styleId="WW8Num24z1" w:customStyle="1">
    <w:name w:val="WW8Num24z1"/>
    <w:qFormat/>
    <w:rsid w:val="005f7ef4"/>
    <w:rPr>
      <w:rFonts w:ascii="Courier New" w:hAnsi="Courier New" w:cs="Courier New"/>
    </w:rPr>
  </w:style>
  <w:style w:type="character" w:styleId="WW8Num24z3" w:customStyle="1">
    <w:name w:val="WW8Num24z3"/>
    <w:qFormat/>
    <w:rsid w:val="005f7ef4"/>
    <w:rPr>
      <w:rFonts w:ascii="Symbol" w:hAnsi="Symbol" w:cs="Symbol"/>
    </w:rPr>
  </w:style>
  <w:style w:type="character" w:styleId="WW8Num25z5" w:customStyle="1">
    <w:name w:val="WW8Num25z5"/>
    <w:qFormat/>
    <w:rsid w:val="005f7ef4"/>
    <w:rPr/>
  </w:style>
  <w:style w:type="character" w:styleId="WW8Num25z6" w:customStyle="1">
    <w:name w:val="WW8Num25z6"/>
    <w:qFormat/>
    <w:rsid w:val="005f7ef4"/>
    <w:rPr/>
  </w:style>
  <w:style w:type="character" w:styleId="WW8Num25z7" w:customStyle="1">
    <w:name w:val="WW8Num25z7"/>
    <w:qFormat/>
    <w:rsid w:val="005f7ef4"/>
    <w:rPr/>
  </w:style>
  <w:style w:type="character" w:styleId="WW8Num25z8" w:customStyle="1">
    <w:name w:val="WW8Num25z8"/>
    <w:qFormat/>
    <w:rsid w:val="005f7ef4"/>
    <w:rPr/>
  </w:style>
  <w:style w:type="character" w:styleId="WW8Num26z1" w:customStyle="1">
    <w:name w:val="WW8Num26z1"/>
    <w:qFormat/>
    <w:rsid w:val="005f7ef4"/>
    <w:rPr>
      <w:rFonts w:ascii="Courier New" w:hAnsi="Courier New" w:cs="Courier New"/>
    </w:rPr>
  </w:style>
  <w:style w:type="character" w:styleId="WW8Num26z2" w:customStyle="1">
    <w:name w:val="WW8Num26z2"/>
    <w:qFormat/>
    <w:rsid w:val="005f7ef4"/>
    <w:rPr>
      <w:rFonts w:ascii="Wingdings" w:hAnsi="Wingdings" w:cs="Wingdings"/>
    </w:rPr>
  </w:style>
  <w:style w:type="character" w:styleId="WW8Num26z3" w:customStyle="1">
    <w:name w:val="WW8Num26z3"/>
    <w:qFormat/>
    <w:rsid w:val="005f7ef4"/>
    <w:rPr>
      <w:rFonts w:ascii="Symbol" w:hAnsi="Symbol" w:cs="Symbol"/>
    </w:rPr>
  </w:style>
  <w:style w:type="character" w:styleId="WW8Num27z1" w:customStyle="1">
    <w:name w:val="WW8Num27z1"/>
    <w:qFormat/>
    <w:rsid w:val="005f7ef4"/>
    <w:rPr>
      <w:rFonts w:ascii="Courier New" w:hAnsi="Courier New" w:cs="Courier New"/>
    </w:rPr>
  </w:style>
  <w:style w:type="character" w:styleId="WW8Num27z2" w:customStyle="1">
    <w:name w:val="WW8Num27z2"/>
    <w:qFormat/>
    <w:rsid w:val="005f7ef4"/>
    <w:rPr>
      <w:rFonts w:ascii="Wingdings" w:hAnsi="Wingdings" w:cs="Wingdings"/>
    </w:rPr>
  </w:style>
  <w:style w:type="character" w:styleId="WW8Num28z0" w:customStyle="1">
    <w:name w:val="WW8Num28z0"/>
    <w:qFormat/>
    <w:rsid w:val="005f7ef4"/>
    <w:rPr>
      <w:rFonts w:ascii="Wingdings" w:hAnsi="Wingdings" w:cs="Wingdings"/>
    </w:rPr>
  </w:style>
  <w:style w:type="character" w:styleId="WW8Num28z1" w:customStyle="1">
    <w:name w:val="WW8Num28z1"/>
    <w:qFormat/>
    <w:rsid w:val="005f7ef4"/>
    <w:rPr>
      <w:rFonts w:ascii="Courier New" w:hAnsi="Courier New" w:cs="Courier New"/>
    </w:rPr>
  </w:style>
  <w:style w:type="character" w:styleId="WW8Num28z3" w:customStyle="1">
    <w:name w:val="WW8Num28z3"/>
    <w:qFormat/>
    <w:rsid w:val="005f7ef4"/>
    <w:rPr>
      <w:rFonts w:ascii="Symbol" w:hAnsi="Symbol" w:cs="Symbol"/>
    </w:rPr>
  </w:style>
  <w:style w:type="character" w:styleId="WW8Num29z0" w:customStyle="1">
    <w:name w:val="WW8Num29z0"/>
    <w:qFormat/>
    <w:rsid w:val="005f7ef4"/>
    <w:rPr>
      <w:rFonts w:ascii="Wingdings" w:hAnsi="Wingdings" w:cs="Wingdings"/>
      <w:sz w:val="22"/>
    </w:rPr>
  </w:style>
  <w:style w:type="character" w:styleId="WW8Num29z1" w:customStyle="1">
    <w:name w:val="WW8Num29z1"/>
    <w:qFormat/>
    <w:rsid w:val="005f7ef4"/>
    <w:rPr>
      <w:rFonts w:ascii="Courier New" w:hAnsi="Courier New" w:cs="Courier New"/>
    </w:rPr>
  </w:style>
  <w:style w:type="character" w:styleId="WW8Num29z3" w:customStyle="1">
    <w:name w:val="WW8Num29z3"/>
    <w:qFormat/>
    <w:rsid w:val="005f7ef4"/>
    <w:rPr>
      <w:rFonts w:ascii="Symbol" w:hAnsi="Symbol" w:cs="Symbol"/>
    </w:rPr>
  </w:style>
  <w:style w:type="character" w:styleId="WW8Num30z0" w:customStyle="1">
    <w:name w:val="WW8Num30z0"/>
    <w:qFormat/>
    <w:rsid w:val="005f7ef4"/>
    <w:rPr>
      <w:rFonts w:ascii="Symbol" w:hAnsi="Symbol" w:cs="Symbol"/>
      <w:sz w:val="20"/>
    </w:rPr>
  </w:style>
  <w:style w:type="character" w:styleId="WW8Num30z1" w:customStyle="1">
    <w:name w:val="WW8Num30z1"/>
    <w:qFormat/>
    <w:rsid w:val="005f7ef4"/>
    <w:rPr>
      <w:rFonts w:ascii="Courier New" w:hAnsi="Courier New" w:cs="Courier New"/>
    </w:rPr>
  </w:style>
  <w:style w:type="character" w:styleId="WW8Num30z2" w:customStyle="1">
    <w:name w:val="WW8Num30z2"/>
    <w:qFormat/>
    <w:rsid w:val="005f7ef4"/>
    <w:rPr>
      <w:rFonts w:ascii="Wingdings" w:hAnsi="Wingdings" w:cs="Wingdings"/>
    </w:rPr>
  </w:style>
  <w:style w:type="character" w:styleId="WW8Num31z0" w:customStyle="1">
    <w:name w:val="WW8Num31z0"/>
    <w:qFormat/>
    <w:rsid w:val="005f7ef4"/>
    <w:rPr>
      <w:rFonts w:ascii="Symbol" w:hAnsi="Symbol" w:cs="Symbol"/>
      <w:sz w:val="22"/>
    </w:rPr>
  </w:style>
  <w:style w:type="character" w:styleId="WW8Num31z1" w:customStyle="1">
    <w:name w:val="WW8Num31z1"/>
    <w:qFormat/>
    <w:rsid w:val="005f7ef4"/>
    <w:rPr>
      <w:rFonts w:ascii="Courier New" w:hAnsi="Courier New" w:cs="Courier New"/>
    </w:rPr>
  </w:style>
  <w:style w:type="character" w:styleId="WW8Num31z2" w:customStyle="1">
    <w:name w:val="WW8Num31z2"/>
    <w:qFormat/>
    <w:rsid w:val="005f7ef4"/>
    <w:rPr>
      <w:rFonts w:ascii="Wingdings" w:hAnsi="Wingdings" w:cs="Wingdings"/>
    </w:rPr>
  </w:style>
  <w:style w:type="character" w:styleId="WW8Num32z0" w:customStyle="1">
    <w:name w:val="WW8Num32z0"/>
    <w:qFormat/>
    <w:rsid w:val="005f7ef4"/>
    <w:rPr>
      <w:rFonts w:ascii="Symbol" w:hAnsi="Symbol" w:cs="Symbol"/>
    </w:rPr>
  </w:style>
  <w:style w:type="character" w:styleId="WW8Num32z1" w:customStyle="1">
    <w:name w:val="WW8Num32z1"/>
    <w:qFormat/>
    <w:rsid w:val="005f7ef4"/>
    <w:rPr>
      <w:rFonts w:ascii="Courier New" w:hAnsi="Courier New" w:cs="Courier New"/>
    </w:rPr>
  </w:style>
  <w:style w:type="character" w:styleId="WW8Num32z2" w:customStyle="1">
    <w:name w:val="WW8Num32z2"/>
    <w:qFormat/>
    <w:rsid w:val="005f7ef4"/>
    <w:rPr>
      <w:rFonts w:ascii="Wingdings" w:hAnsi="Wingdings" w:cs="Wingdings"/>
    </w:rPr>
  </w:style>
  <w:style w:type="character" w:styleId="WW8Num33z0" w:customStyle="1">
    <w:name w:val="WW8Num33z0"/>
    <w:qFormat/>
    <w:rsid w:val="005f7ef4"/>
    <w:rPr>
      <w:rFonts w:ascii="Symbol" w:hAnsi="Symbol" w:cs="Symbol"/>
      <w:sz w:val="20"/>
    </w:rPr>
  </w:style>
  <w:style w:type="character" w:styleId="WW8Num33z1" w:customStyle="1">
    <w:name w:val="WW8Num33z1"/>
    <w:qFormat/>
    <w:rsid w:val="005f7ef4"/>
    <w:rPr>
      <w:rFonts w:ascii="Courier New" w:hAnsi="Courier New" w:cs="Courier New"/>
    </w:rPr>
  </w:style>
  <w:style w:type="character" w:styleId="WW8Num33z2" w:customStyle="1">
    <w:name w:val="WW8Num33z2"/>
    <w:qFormat/>
    <w:rsid w:val="005f7ef4"/>
    <w:rPr>
      <w:rFonts w:ascii="Wingdings" w:hAnsi="Wingdings" w:cs="Wingdings"/>
    </w:rPr>
  </w:style>
  <w:style w:type="character" w:styleId="WW8Num34z0" w:customStyle="1">
    <w:name w:val="WW8Num34z0"/>
    <w:qFormat/>
    <w:rsid w:val="005f7ef4"/>
    <w:rPr>
      <w:rFonts w:cs="Times New Roman"/>
    </w:rPr>
  </w:style>
  <w:style w:type="character" w:styleId="WW8Num35z0" w:customStyle="1">
    <w:name w:val="WW8Num35z0"/>
    <w:qFormat/>
    <w:rsid w:val="005f7ef4"/>
    <w:rPr>
      <w:rFonts w:ascii="Symbol" w:hAnsi="Symbol" w:cs="Symbol"/>
      <w:sz w:val="20"/>
      <w:szCs w:val="20"/>
    </w:rPr>
  </w:style>
  <w:style w:type="character" w:styleId="WW8Num35z1" w:customStyle="1">
    <w:name w:val="WW8Num35z1"/>
    <w:qFormat/>
    <w:rsid w:val="005f7ef4"/>
    <w:rPr>
      <w:rFonts w:ascii="Courier New" w:hAnsi="Courier New" w:cs="Courier New"/>
    </w:rPr>
  </w:style>
  <w:style w:type="character" w:styleId="WW8Num35z2" w:customStyle="1">
    <w:name w:val="WW8Num35z2"/>
    <w:qFormat/>
    <w:rsid w:val="005f7ef4"/>
    <w:rPr>
      <w:rFonts w:ascii="Wingdings" w:hAnsi="Wingdings" w:cs="Wingdings"/>
    </w:rPr>
  </w:style>
  <w:style w:type="character" w:styleId="WW8Num36z0" w:customStyle="1">
    <w:name w:val="WW8Num36z0"/>
    <w:qFormat/>
    <w:rsid w:val="005f7ef4"/>
    <w:rPr>
      <w:rFonts w:ascii="Symbol" w:hAnsi="Symbol" w:cs="Symbol"/>
      <w:sz w:val="20"/>
    </w:rPr>
  </w:style>
  <w:style w:type="character" w:styleId="WW8Num36z1" w:customStyle="1">
    <w:name w:val="WW8Num36z1"/>
    <w:qFormat/>
    <w:rsid w:val="005f7ef4"/>
    <w:rPr>
      <w:rFonts w:ascii="Courier New" w:hAnsi="Courier New" w:cs="Courier New"/>
    </w:rPr>
  </w:style>
  <w:style w:type="character" w:styleId="WW8Num36z2" w:customStyle="1">
    <w:name w:val="WW8Num36z2"/>
    <w:qFormat/>
    <w:rsid w:val="005f7ef4"/>
    <w:rPr>
      <w:rFonts w:ascii="Wingdings" w:hAnsi="Wingdings" w:cs="Wingdings"/>
    </w:rPr>
  </w:style>
  <w:style w:type="character" w:styleId="WW8Num37z0" w:customStyle="1">
    <w:name w:val="WW8Num37z0"/>
    <w:qFormat/>
    <w:rsid w:val="005f7ef4"/>
    <w:rPr>
      <w:rFonts w:ascii="Times New Roman" w:hAnsi="Times New Roman" w:eastAsia="Calibri" w:cs="Times New Roman"/>
    </w:rPr>
  </w:style>
  <w:style w:type="character" w:styleId="WW8Num37z1" w:customStyle="1">
    <w:name w:val="WW8Num37z1"/>
    <w:qFormat/>
    <w:rsid w:val="005f7ef4"/>
    <w:rPr>
      <w:rFonts w:ascii="Courier New" w:hAnsi="Courier New" w:cs="Courier New"/>
    </w:rPr>
  </w:style>
  <w:style w:type="character" w:styleId="WW8Num37z2" w:customStyle="1">
    <w:name w:val="WW8Num37z2"/>
    <w:qFormat/>
    <w:rsid w:val="005f7ef4"/>
    <w:rPr>
      <w:rFonts w:ascii="Wingdings" w:hAnsi="Wingdings" w:cs="Wingdings"/>
    </w:rPr>
  </w:style>
  <w:style w:type="character" w:styleId="WW8Num37z3" w:customStyle="1">
    <w:name w:val="WW8Num37z3"/>
    <w:qFormat/>
    <w:rsid w:val="005f7ef4"/>
    <w:rPr>
      <w:rFonts w:ascii="Symbol" w:hAnsi="Symbol" w:cs="Symbol"/>
    </w:rPr>
  </w:style>
  <w:style w:type="character" w:styleId="WW8Num38z0" w:customStyle="1">
    <w:name w:val="WW8Num38z0"/>
    <w:qFormat/>
    <w:rsid w:val="005f7ef4"/>
    <w:rPr>
      <w:rFonts w:ascii="Symbol" w:hAnsi="Symbol" w:cs="Symbol"/>
      <w:sz w:val="20"/>
    </w:rPr>
  </w:style>
  <w:style w:type="character" w:styleId="WW8Num38z1" w:customStyle="1">
    <w:name w:val="WW8Num38z1"/>
    <w:qFormat/>
    <w:rsid w:val="005f7ef4"/>
    <w:rPr>
      <w:rFonts w:ascii="Courier New" w:hAnsi="Courier New" w:cs="Courier New"/>
    </w:rPr>
  </w:style>
  <w:style w:type="character" w:styleId="WW8Num38z2" w:customStyle="1">
    <w:name w:val="WW8Num38z2"/>
    <w:qFormat/>
    <w:rsid w:val="005f7ef4"/>
    <w:rPr>
      <w:rFonts w:ascii="Wingdings" w:hAnsi="Wingdings" w:cs="Wingdings"/>
    </w:rPr>
  </w:style>
  <w:style w:type="character" w:styleId="WW8Num39z0" w:customStyle="1">
    <w:name w:val="WW8Num39z0"/>
    <w:qFormat/>
    <w:rsid w:val="005f7ef4"/>
    <w:rPr>
      <w:rFonts w:ascii="Symbol" w:hAnsi="Symbol" w:cs="Symbol"/>
      <w:sz w:val="22"/>
      <w:szCs w:val="22"/>
    </w:rPr>
  </w:style>
  <w:style w:type="character" w:styleId="WW8Num39z1" w:customStyle="1">
    <w:name w:val="WW8Num39z1"/>
    <w:qFormat/>
    <w:rsid w:val="005f7ef4"/>
    <w:rPr>
      <w:rFonts w:ascii="Courier New" w:hAnsi="Courier New" w:cs="Courier New"/>
    </w:rPr>
  </w:style>
  <w:style w:type="character" w:styleId="WW8Num39z2" w:customStyle="1">
    <w:name w:val="WW8Num39z2"/>
    <w:qFormat/>
    <w:rsid w:val="005f7ef4"/>
    <w:rPr>
      <w:rFonts w:ascii="Wingdings" w:hAnsi="Wingdings" w:cs="Wingdings"/>
    </w:rPr>
  </w:style>
  <w:style w:type="character" w:styleId="WW8Num40z0" w:customStyle="1">
    <w:name w:val="WW8Num40z0"/>
    <w:qFormat/>
    <w:rsid w:val="005f7ef4"/>
    <w:rPr/>
  </w:style>
  <w:style w:type="character" w:styleId="WW8Num40z1" w:customStyle="1">
    <w:name w:val="WW8Num40z1"/>
    <w:qFormat/>
    <w:rsid w:val="005f7ef4"/>
    <w:rPr/>
  </w:style>
  <w:style w:type="character" w:styleId="WW8Num40z2" w:customStyle="1">
    <w:name w:val="WW8Num40z2"/>
    <w:qFormat/>
    <w:rsid w:val="005f7ef4"/>
    <w:rPr/>
  </w:style>
  <w:style w:type="character" w:styleId="WW8Num40z3" w:customStyle="1">
    <w:name w:val="WW8Num40z3"/>
    <w:qFormat/>
    <w:rsid w:val="005f7ef4"/>
    <w:rPr/>
  </w:style>
  <w:style w:type="character" w:styleId="WW8Num40z4" w:customStyle="1">
    <w:name w:val="WW8Num40z4"/>
    <w:qFormat/>
    <w:rsid w:val="005f7ef4"/>
    <w:rPr/>
  </w:style>
  <w:style w:type="character" w:styleId="WW8Num40z5" w:customStyle="1">
    <w:name w:val="WW8Num40z5"/>
    <w:qFormat/>
    <w:rsid w:val="005f7ef4"/>
    <w:rPr/>
  </w:style>
  <w:style w:type="character" w:styleId="WW8Num40z6" w:customStyle="1">
    <w:name w:val="WW8Num40z6"/>
    <w:qFormat/>
    <w:rsid w:val="005f7ef4"/>
    <w:rPr/>
  </w:style>
  <w:style w:type="character" w:styleId="WW8Num40z7" w:customStyle="1">
    <w:name w:val="WW8Num40z7"/>
    <w:qFormat/>
    <w:rsid w:val="005f7ef4"/>
    <w:rPr/>
  </w:style>
  <w:style w:type="character" w:styleId="WW8Num40z8" w:customStyle="1">
    <w:name w:val="WW8Num40z8"/>
    <w:qFormat/>
    <w:rsid w:val="005f7ef4"/>
    <w:rPr/>
  </w:style>
  <w:style w:type="character" w:styleId="WW8Num41z0" w:customStyle="1">
    <w:name w:val="WW8Num41z0"/>
    <w:qFormat/>
    <w:rsid w:val="005f7ef4"/>
    <w:rPr>
      <w:rFonts w:ascii="Times New Roman" w:hAnsi="Times New Roman" w:eastAsia="Calibri" w:cs="Times New Roman"/>
      <w:sz w:val="22"/>
    </w:rPr>
  </w:style>
  <w:style w:type="character" w:styleId="WW8Num41z1" w:customStyle="1">
    <w:name w:val="WW8Num41z1"/>
    <w:qFormat/>
    <w:rsid w:val="005f7ef4"/>
    <w:rPr>
      <w:rFonts w:ascii="Calibri" w:hAnsi="Calibri" w:eastAsia="Calibri" w:cs="Times New Roman"/>
      <w:color w:val="FF0000"/>
      <w:sz w:val="22"/>
    </w:rPr>
  </w:style>
  <w:style w:type="character" w:styleId="WW8Num41z2" w:customStyle="1">
    <w:name w:val="WW8Num41z2"/>
    <w:qFormat/>
    <w:rsid w:val="005f7ef4"/>
    <w:rPr>
      <w:rFonts w:ascii="Wingdings" w:hAnsi="Wingdings" w:cs="Wingdings"/>
    </w:rPr>
  </w:style>
  <w:style w:type="character" w:styleId="WW8Num41z3" w:customStyle="1">
    <w:name w:val="WW8Num41z3"/>
    <w:qFormat/>
    <w:rsid w:val="005f7ef4"/>
    <w:rPr>
      <w:rFonts w:ascii="Symbol" w:hAnsi="Symbol" w:cs="Symbol"/>
    </w:rPr>
  </w:style>
  <w:style w:type="character" w:styleId="WW8Num41z4" w:customStyle="1">
    <w:name w:val="WW8Num41z4"/>
    <w:qFormat/>
    <w:rsid w:val="005f7ef4"/>
    <w:rPr>
      <w:rFonts w:ascii="Courier New" w:hAnsi="Courier New" w:cs="Courier New"/>
    </w:rPr>
  </w:style>
  <w:style w:type="character" w:styleId="WW8Num42z0" w:customStyle="1">
    <w:name w:val="WW8Num42z0"/>
    <w:qFormat/>
    <w:rsid w:val="005f7ef4"/>
    <w:rPr>
      <w:rFonts w:ascii="Symbol" w:hAnsi="Symbol" w:cs="Symbol"/>
    </w:rPr>
  </w:style>
  <w:style w:type="character" w:styleId="WW8Num42z1" w:customStyle="1">
    <w:name w:val="WW8Num42z1"/>
    <w:qFormat/>
    <w:rsid w:val="005f7ef4"/>
    <w:rPr>
      <w:rFonts w:ascii="Courier New" w:hAnsi="Courier New" w:cs="Courier New"/>
    </w:rPr>
  </w:style>
  <w:style w:type="character" w:styleId="WW8Num42z2" w:customStyle="1">
    <w:name w:val="WW8Num42z2"/>
    <w:qFormat/>
    <w:rsid w:val="005f7ef4"/>
    <w:rPr>
      <w:rFonts w:ascii="Wingdings" w:hAnsi="Wingdings" w:cs="Wingdings"/>
    </w:rPr>
  </w:style>
  <w:style w:type="character" w:styleId="WW8Num43z0" w:customStyle="1">
    <w:name w:val="WW8Num43z0"/>
    <w:qFormat/>
    <w:rsid w:val="005f7ef4"/>
    <w:rPr>
      <w:rFonts w:ascii="Symbol" w:hAnsi="Symbol" w:cs="Symbol"/>
    </w:rPr>
  </w:style>
  <w:style w:type="character" w:styleId="WW8Num43z1" w:customStyle="1">
    <w:name w:val="WW8Num43z1"/>
    <w:qFormat/>
    <w:rsid w:val="005f7ef4"/>
    <w:rPr/>
  </w:style>
  <w:style w:type="character" w:styleId="WW8Num43z2" w:customStyle="1">
    <w:name w:val="WW8Num43z2"/>
    <w:qFormat/>
    <w:rsid w:val="005f7ef4"/>
    <w:rPr/>
  </w:style>
  <w:style w:type="character" w:styleId="WW8Num43z3" w:customStyle="1">
    <w:name w:val="WW8Num43z3"/>
    <w:qFormat/>
    <w:rsid w:val="005f7ef4"/>
    <w:rPr/>
  </w:style>
  <w:style w:type="character" w:styleId="WW8Num43z4" w:customStyle="1">
    <w:name w:val="WW8Num43z4"/>
    <w:qFormat/>
    <w:rsid w:val="005f7ef4"/>
    <w:rPr/>
  </w:style>
  <w:style w:type="character" w:styleId="WW8Num43z5" w:customStyle="1">
    <w:name w:val="WW8Num43z5"/>
    <w:qFormat/>
    <w:rsid w:val="005f7ef4"/>
    <w:rPr/>
  </w:style>
  <w:style w:type="character" w:styleId="WW8Num43z6" w:customStyle="1">
    <w:name w:val="WW8Num43z6"/>
    <w:qFormat/>
    <w:rsid w:val="005f7ef4"/>
    <w:rPr/>
  </w:style>
  <w:style w:type="character" w:styleId="WW8Num43z7" w:customStyle="1">
    <w:name w:val="WW8Num43z7"/>
    <w:qFormat/>
    <w:rsid w:val="005f7ef4"/>
    <w:rPr/>
  </w:style>
  <w:style w:type="character" w:styleId="WW8Num43z8" w:customStyle="1">
    <w:name w:val="WW8Num43z8"/>
    <w:qFormat/>
    <w:rsid w:val="005f7ef4"/>
    <w:rPr/>
  </w:style>
  <w:style w:type="character" w:styleId="WW8Num44z0" w:customStyle="1">
    <w:name w:val="WW8Num44z0"/>
    <w:qFormat/>
    <w:rsid w:val="005f7ef4"/>
    <w:rPr>
      <w:rFonts w:ascii="Symbol" w:hAnsi="Symbol" w:cs="Symbol"/>
    </w:rPr>
  </w:style>
  <w:style w:type="character" w:styleId="WW8Num44z1" w:customStyle="1">
    <w:name w:val="WW8Num44z1"/>
    <w:qFormat/>
    <w:rsid w:val="005f7ef4"/>
    <w:rPr>
      <w:rFonts w:ascii="Courier New" w:hAnsi="Courier New" w:cs="Courier New"/>
    </w:rPr>
  </w:style>
  <w:style w:type="character" w:styleId="WW8Num44z2" w:customStyle="1">
    <w:name w:val="WW8Num44z2"/>
    <w:qFormat/>
    <w:rsid w:val="005f7ef4"/>
    <w:rPr>
      <w:rFonts w:ascii="Wingdings" w:hAnsi="Wingdings" w:cs="Wingdings"/>
    </w:rPr>
  </w:style>
  <w:style w:type="character" w:styleId="WW8Num45z0" w:customStyle="1">
    <w:name w:val="WW8Num45z0"/>
    <w:qFormat/>
    <w:rsid w:val="005f7ef4"/>
    <w:rPr>
      <w:rFonts w:ascii="Wingdings" w:hAnsi="Wingdings" w:cs="Wingdings"/>
    </w:rPr>
  </w:style>
  <w:style w:type="character" w:styleId="WW8Num45z1" w:customStyle="1">
    <w:name w:val="WW8Num45z1"/>
    <w:qFormat/>
    <w:rsid w:val="005f7ef4"/>
    <w:rPr>
      <w:rFonts w:ascii="Courier New" w:hAnsi="Courier New" w:cs="Courier New"/>
    </w:rPr>
  </w:style>
  <w:style w:type="character" w:styleId="WW8Num45z3" w:customStyle="1">
    <w:name w:val="WW8Num45z3"/>
    <w:qFormat/>
    <w:rsid w:val="005f7ef4"/>
    <w:rPr>
      <w:rFonts w:ascii="Symbol" w:hAnsi="Symbol" w:cs="Symbol"/>
    </w:rPr>
  </w:style>
  <w:style w:type="character" w:styleId="WW8Num46z0" w:customStyle="1">
    <w:name w:val="WW8Num46z0"/>
    <w:qFormat/>
    <w:rsid w:val="005f7ef4"/>
    <w:rPr>
      <w:rFonts w:ascii="Symbol" w:hAnsi="Symbol" w:cs="Symbol"/>
    </w:rPr>
  </w:style>
  <w:style w:type="character" w:styleId="WW8Num46z1" w:customStyle="1">
    <w:name w:val="WW8Num46z1"/>
    <w:qFormat/>
    <w:rsid w:val="005f7ef4"/>
    <w:rPr>
      <w:rFonts w:ascii="Courier New" w:hAnsi="Courier New" w:cs="Courier New"/>
    </w:rPr>
  </w:style>
  <w:style w:type="character" w:styleId="WW8Num46z2" w:customStyle="1">
    <w:name w:val="WW8Num46z2"/>
    <w:qFormat/>
    <w:rsid w:val="005f7ef4"/>
    <w:rPr>
      <w:rFonts w:ascii="Wingdings" w:hAnsi="Wingdings" w:cs="Wingdings"/>
    </w:rPr>
  </w:style>
  <w:style w:type="character" w:styleId="WW8Num47z0" w:customStyle="1">
    <w:name w:val="WW8Num47z0"/>
    <w:qFormat/>
    <w:rsid w:val="005f7ef4"/>
    <w:rPr>
      <w:rFonts w:ascii="Symbol" w:hAnsi="Symbol" w:cs="Symbol"/>
    </w:rPr>
  </w:style>
  <w:style w:type="character" w:styleId="WW8Num47z1" w:customStyle="1">
    <w:name w:val="WW8Num47z1"/>
    <w:qFormat/>
    <w:rsid w:val="005f7ef4"/>
    <w:rPr>
      <w:rFonts w:ascii="Courier New" w:hAnsi="Courier New" w:cs="Courier New"/>
    </w:rPr>
  </w:style>
  <w:style w:type="character" w:styleId="WW8Num47z2" w:customStyle="1">
    <w:name w:val="WW8Num47z2"/>
    <w:qFormat/>
    <w:rsid w:val="005f7ef4"/>
    <w:rPr>
      <w:rFonts w:ascii="Wingdings" w:hAnsi="Wingdings" w:cs="Wingdings"/>
    </w:rPr>
  </w:style>
  <w:style w:type="character" w:styleId="WW8Num48z0" w:customStyle="1">
    <w:name w:val="WW8Num48z0"/>
    <w:qFormat/>
    <w:rsid w:val="005f7ef4"/>
    <w:rPr>
      <w:rFonts w:ascii="Wingdings" w:hAnsi="Wingdings" w:cs="Wingdings"/>
    </w:rPr>
  </w:style>
  <w:style w:type="character" w:styleId="WW8Num48z1" w:customStyle="1">
    <w:name w:val="WW8Num48z1"/>
    <w:qFormat/>
    <w:rsid w:val="005f7ef4"/>
    <w:rPr>
      <w:rFonts w:ascii="Courier New" w:hAnsi="Courier New" w:cs="Courier New"/>
    </w:rPr>
  </w:style>
  <w:style w:type="character" w:styleId="WW8Num48z3" w:customStyle="1">
    <w:name w:val="WW8Num48z3"/>
    <w:qFormat/>
    <w:rsid w:val="005f7ef4"/>
    <w:rPr>
      <w:rFonts w:ascii="Symbol" w:hAnsi="Symbol" w:cs="Symbol"/>
    </w:rPr>
  </w:style>
  <w:style w:type="character" w:styleId="WW8Num49z0" w:customStyle="1">
    <w:name w:val="WW8Num49z0"/>
    <w:qFormat/>
    <w:rsid w:val="005f7ef4"/>
    <w:rPr>
      <w:rFonts w:ascii="Calibri" w:hAnsi="Calibri" w:cs="Calibri"/>
      <w:sz w:val="22"/>
    </w:rPr>
  </w:style>
  <w:style w:type="character" w:styleId="WW8Num49z1" w:customStyle="1">
    <w:name w:val="WW8Num49z1"/>
    <w:qFormat/>
    <w:rsid w:val="005f7ef4"/>
    <w:rPr/>
  </w:style>
  <w:style w:type="character" w:styleId="WW8Num49z2" w:customStyle="1">
    <w:name w:val="WW8Num49z2"/>
    <w:qFormat/>
    <w:rsid w:val="005f7ef4"/>
    <w:rPr/>
  </w:style>
  <w:style w:type="character" w:styleId="WW8Num49z3" w:customStyle="1">
    <w:name w:val="WW8Num49z3"/>
    <w:qFormat/>
    <w:rsid w:val="005f7ef4"/>
    <w:rPr/>
  </w:style>
  <w:style w:type="character" w:styleId="WW8Num49z4" w:customStyle="1">
    <w:name w:val="WW8Num49z4"/>
    <w:qFormat/>
    <w:rsid w:val="005f7ef4"/>
    <w:rPr/>
  </w:style>
  <w:style w:type="character" w:styleId="WW8Num49z5" w:customStyle="1">
    <w:name w:val="WW8Num49z5"/>
    <w:qFormat/>
    <w:rsid w:val="005f7ef4"/>
    <w:rPr/>
  </w:style>
  <w:style w:type="character" w:styleId="WW8Num49z6" w:customStyle="1">
    <w:name w:val="WW8Num49z6"/>
    <w:qFormat/>
    <w:rsid w:val="005f7ef4"/>
    <w:rPr/>
  </w:style>
  <w:style w:type="character" w:styleId="WW8Num49z7" w:customStyle="1">
    <w:name w:val="WW8Num49z7"/>
    <w:qFormat/>
    <w:rsid w:val="005f7ef4"/>
    <w:rPr/>
  </w:style>
  <w:style w:type="character" w:styleId="WW8Num49z8" w:customStyle="1">
    <w:name w:val="WW8Num49z8"/>
    <w:qFormat/>
    <w:rsid w:val="005f7ef4"/>
    <w:rPr/>
  </w:style>
  <w:style w:type="character" w:styleId="WW8Num50z0" w:customStyle="1">
    <w:name w:val="WW8Num50z0"/>
    <w:qFormat/>
    <w:rsid w:val="005f7ef4"/>
    <w:rPr/>
  </w:style>
  <w:style w:type="character" w:styleId="WW8Num50z1" w:customStyle="1">
    <w:name w:val="WW8Num50z1"/>
    <w:qFormat/>
    <w:rsid w:val="005f7ef4"/>
    <w:rPr/>
  </w:style>
  <w:style w:type="character" w:styleId="WW8Num50z2" w:customStyle="1">
    <w:name w:val="WW8Num50z2"/>
    <w:qFormat/>
    <w:rsid w:val="005f7ef4"/>
    <w:rPr/>
  </w:style>
  <w:style w:type="character" w:styleId="WW8Num50z3" w:customStyle="1">
    <w:name w:val="WW8Num50z3"/>
    <w:qFormat/>
    <w:rsid w:val="005f7ef4"/>
    <w:rPr/>
  </w:style>
  <w:style w:type="character" w:styleId="WW8Num50z4" w:customStyle="1">
    <w:name w:val="WW8Num50z4"/>
    <w:qFormat/>
    <w:rsid w:val="005f7ef4"/>
    <w:rPr/>
  </w:style>
  <w:style w:type="character" w:styleId="WW8Num50z5" w:customStyle="1">
    <w:name w:val="WW8Num50z5"/>
    <w:qFormat/>
    <w:rsid w:val="005f7ef4"/>
    <w:rPr/>
  </w:style>
  <w:style w:type="character" w:styleId="WW8Num50z6" w:customStyle="1">
    <w:name w:val="WW8Num50z6"/>
    <w:qFormat/>
    <w:rsid w:val="005f7ef4"/>
    <w:rPr/>
  </w:style>
  <w:style w:type="character" w:styleId="WW8Num50z7" w:customStyle="1">
    <w:name w:val="WW8Num50z7"/>
    <w:qFormat/>
    <w:rsid w:val="005f7ef4"/>
    <w:rPr/>
  </w:style>
  <w:style w:type="character" w:styleId="WW8Num50z8" w:customStyle="1">
    <w:name w:val="WW8Num50z8"/>
    <w:qFormat/>
    <w:rsid w:val="005f7ef4"/>
    <w:rPr/>
  </w:style>
  <w:style w:type="character" w:styleId="WW8NumSt33z0" w:customStyle="1">
    <w:name w:val="WW8NumSt33z0"/>
    <w:qFormat/>
    <w:rsid w:val="005f7ef4"/>
    <w:rPr>
      <w:rFonts w:ascii="Symbol" w:hAnsi="Symbol" w:cs="Symbol"/>
    </w:rPr>
  </w:style>
  <w:style w:type="character" w:styleId="Standardnpsmoodstavce1" w:customStyle="1">
    <w:name w:val="Standardní písmo odstavce1"/>
    <w:qFormat/>
    <w:rsid w:val="005f7ef4"/>
    <w:rPr/>
  </w:style>
  <w:style w:type="character" w:styleId="Nadpis1Char" w:customStyle="1">
    <w:name w:val="Nadpis 1 Char"/>
    <w:qFormat/>
    <w:rsid w:val="005f7ef4"/>
    <w:rPr>
      <w:rFonts w:eastAsia="Calibri"/>
      <w:b/>
      <w:sz w:val="28"/>
    </w:rPr>
  </w:style>
  <w:style w:type="character" w:styleId="Nadpis2Char" w:customStyle="1">
    <w:name w:val="Nadpis 2 Char"/>
    <w:qFormat/>
    <w:rsid w:val="005f7ef4"/>
    <w:rPr>
      <w:rFonts w:eastAsia="Calibri"/>
      <w:b/>
    </w:rPr>
  </w:style>
  <w:style w:type="character" w:styleId="Nadpis3Char" w:customStyle="1">
    <w:name w:val="Nadpis 3 Char"/>
    <w:qFormat/>
    <w:rsid w:val="005f7ef4"/>
    <w:rPr>
      <w:rFonts w:eastAsia="Calibri"/>
      <w:b/>
      <w:i/>
    </w:rPr>
  </w:style>
  <w:style w:type="character" w:styleId="ZkladntextodsazenChar" w:customStyle="1">
    <w:name w:val="Základní text odsazený Char"/>
    <w:qFormat/>
    <w:rsid w:val="005f7ef4"/>
    <w:rPr>
      <w:rFonts w:ascii="Arial" w:hAnsi="Arial" w:eastAsia="Times New Roman" w:cs="Arial"/>
      <w:b w:val="false"/>
      <w:bCs w:val="false"/>
      <w:sz w:val="20"/>
      <w:szCs w:val="20"/>
    </w:rPr>
  </w:style>
  <w:style w:type="character" w:styleId="TextbublinyChar" w:customStyle="1">
    <w:name w:val="Text bubliny Char"/>
    <w:qFormat/>
    <w:rsid w:val="005f7ef4"/>
    <w:rPr>
      <w:rFonts w:ascii="Tahoma" w:hAnsi="Tahoma" w:eastAsia="Calibri" w:cs="Tahoma"/>
      <w:sz w:val="16"/>
      <w:szCs w:val="16"/>
    </w:rPr>
  </w:style>
  <w:style w:type="character" w:styleId="TextbublinyChar1" w:customStyle="1">
    <w:name w:val="Text bubliny Char1"/>
    <w:qFormat/>
    <w:rsid w:val="005f7ef4"/>
    <w:rPr>
      <w:rFonts w:ascii="Tahoma" w:hAnsi="Tahoma" w:cs="Tahoma"/>
      <w:sz w:val="16"/>
      <w:szCs w:val="16"/>
    </w:rPr>
  </w:style>
  <w:style w:type="character" w:styleId="TextkomenteChar" w:customStyle="1">
    <w:name w:val="Text komentáře Char"/>
    <w:qFormat/>
    <w:rsid w:val="005f7ef4"/>
    <w:rPr>
      <w:rFonts w:ascii="Calibri" w:hAnsi="Calibri" w:eastAsia="Calibri" w:cs="Calibri"/>
      <w:b w:val="false"/>
      <w:bCs w:val="false"/>
      <w:sz w:val="20"/>
      <w:szCs w:val="20"/>
    </w:rPr>
  </w:style>
  <w:style w:type="character" w:styleId="PedmtkomenteChar" w:customStyle="1">
    <w:name w:val="Předmět komentáře Char"/>
    <w:qFormat/>
    <w:rsid w:val="005f7ef4"/>
    <w:rPr>
      <w:rFonts w:ascii="Calibri" w:hAnsi="Calibri" w:eastAsia="Calibri" w:cs="Calibri"/>
      <w:b w:val="false"/>
      <w:bCs w:val="false"/>
      <w:sz w:val="20"/>
      <w:szCs w:val="20"/>
    </w:rPr>
  </w:style>
  <w:style w:type="character" w:styleId="PredmetkomentraChar1" w:customStyle="1">
    <w:name w:val="Predmet komentára Char1"/>
    <w:qFormat/>
    <w:rsid w:val="005f7ef4"/>
    <w:rPr>
      <w:rFonts w:ascii="Calibri" w:hAnsi="Calibri" w:eastAsia="Calibri" w:cs="Calibri"/>
      <w:b w:val="false"/>
      <w:bCs w:val="false"/>
      <w:sz w:val="20"/>
      <w:szCs w:val="20"/>
    </w:rPr>
  </w:style>
  <w:style w:type="character" w:styleId="St" w:customStyle="1">
    <w:name w:val="st"/>
    <w:qFormat/>
    <w:rsid w:val="005f7ef4"/>
    <w:rPr/>
  </w:style>
  <w:style w:type="character" w:styleId="Normlny1" w:customStyle="1">
    <w:name w:val="Normálny1"/>
    <w:qFormat/>
    <w:rsid w:val="005f7ef4"/>
    <w:rPr/>
  </w:style>
  <w:style w:type="character" w:styleId="Internetovodkaz">
    <w:name w:val="Internetový odkaz"/>
    <w:basedOn w:val="DefaultParagraphFont"/>
    <w:uiPriority w:val="99"/>
    <w:unhideWhenUsed/>
    <w:rsid w:val="00915bc5"/>
    <w:rPr>
      <w:color w:val="0000FF" w:themeColor="hyperlink"/>
      <w:u w:val="single"/>
    </w:rPr>
  </w:style>
  <w:style w:type="character" w:styleId="ZhlavChar" w:customStyle="1">
    <w:name w:val="Záhlaví Char"/>
    <w:qFormat/>
    <w:rsid w:val="005f7ef4"/>
    <w:rPr>
      <w:rFonts w:ascii="Calibri" w:hAnsi="Calibri" w:eastAsia="Calibri" w:cs="Calibri"/>
      <w:b w:val="false"/>
      <w:bCs w:val="false"/>
      <w:sz w:val="20"/>
      <w:szCs w:val="20"/>
    </w:rPr>
  </w:style>
  <w:style w:type="character" w:styleId="ZpatChar" w:customStyle="1">
    <w:name w:val="Zápatí Char"/>
    <w:qFormat/>
    <w:rsid w:val="005f7ef4"/>
    <w:rPr>
      <w:rFonts w:ascii="Calibri" w:hAnsi="Calibri" w:eastAsia="Calibri" w:cs="Calibri"/>
      <w:b w:val="false"/>
      <w:bCs w:val="false"/>
      <w:sz w:val="20"/>
      <w:szCs w:val="20"/>
    </w:rPr>
  </w:style>
  <w:style w:type="character" w:styleId="Normlny2" w:customStyle="1">
    <w:name w:val="Normálny2"/>
    <w:qFormat/>
    <w:rsid w:val="005f7ef4"/>
    <w:rPr/>
  </w:style>
  <w:style w:type="character" w:styleId="N3Char" w:customStyle="1">
    <w:name w:val="N3 Char"/>
    <w:qFormat/>
    <w:rsid w:val="005f7ef4"/>
    <w:rPr>
      <w:rFonts w:eastAsia="Calibri"/>
      <w:bCs w:val="false"/>
    </w:rPr>
  </w:style>
  <w:style w:type="character" w:styleId="Odkaznakoment1" w:customStyle="1">
    <w:name w:val="Odkaz na komentář1"/>
    <w:qFormat/>
    <w:rsid w:val="005f7ef4"/>
    <w:rPr>
      <w:sz w:val="16"/>
      <w:szCs w:val="16"/>
    </w:rPr>
  </w:style>
  <w:style w:type="character" w:styleId="NzevChar" w:customStyle="1">
    <w:name w:val="Název Char"/>
    <w:qFormat/>
    <w:rsid w:val="005f7ef4"/>
    <w:rPr>
      <w:rFonts w:ascii="Calibri Light" w:hAnsi="Calibri Light" w:eastAsia="Times New Roman" w:cs="Calibri Light"/>
      <w:b w:val="false"/>
      <w:bCs w:val="false"/>
      <w:spacing w:val="-10"/>
      <w:kern w:val="2"/>
      <w:sz w:val="56"/>
      <w:szCs w:val="56"/>
    </w:rPr>
  </w:style>
  <w:style w:type="character" w:styleId="Odkazintenzivn1" w:customStyle="1">
    <w:name w:val="Odkaz – intenzivní1"/>
    <w:qFormat/>
    <w:rsid w:val="005f7ef4"/>
    <w:rPr>
      <w:b/>
      <w:bCs/>
      <w:smallCaps/>
      <w:color w:val="5B9BD5"/>
      <w:spacing w:val="5"/>
    </w:rPr>
  </w:style>
  <w:style w:type="character" w:styleId="Strong">
    <w:name w:val="Strong"/>
    <w:qFormat/>
    <w:rsid w:val="005f7ef4"/>
    <w:rPr>
      <w:b/>
      <w:bCs/>
    </w:rPr>
  </w:style>
  <w:style w:type="character" w:styleId="Odrky" w:customStyle="1">
    <w:name w:val="Odrážky"/>
    <w:qFormat/>
    <w:rsid w:val="005f7ef4"/>
    <w:rPr>
      <w:rFonts w:ascii="OpenSymbol" w:hAnsi="OpenSymbol" w:eastAsia="OpenSymbol" w:cs="OpenSymbol"/>
    </w:rPr>
  </w:style>
  <w:style w:type="character" w:styleId="Annotationreference">
    <w:name w:val="annotation reference"/>
    <w:uiPriority w:val="99"/>
    <w:semiHidden/>
    <w:unhideWhenUsed/>
    <w:qFormat/>
    <w:rsid w:val="007263c2"/>
    <w:rPr>
      <w:sz w:val="16"/>
      <w:szCs w:val="16"/>
    </w:rPr>
  </w:style>
  <w:style w:type="character" w:styleId="TextkomenteChar1" w:customStyle="1">
    <w:name w:val="Text komentáře Char1"/>
    <w:link w:val="Textkomente"/>
    <w:uiPriority w:val="99"/>
    <w:qFormat/>
    <w:rsid w:val="007263c2"/>
    <w:rPr>
      <w:rFonts w:eastAsia="Calibri"/>
      <w:lang w:eastAsia="zh-CN"/>
    </w:rPr>
  </w:style>
  <w:style w:type="character" w:styleId="PedmtkomenteChar1" w:customStyle="1">
    <w:name w:val="Předmět komentáře Char1"/>
    <w:link w:val="Pedmtkomente"/>
    <w:uiPriority w:val="99"/>
    <w:semiHidden/>
    <w:qFormat/>
    <w:rsid w:val="007263c2"/>
    <w:rPr>
      <w:rFonts w:eastAsia="Calibri"/>
      <w:b/>
      <w:bCs/>
      <w:lang w:eastAsia="zh-CN"/>
    </w:rPr>
  </w:style>
  <w:style w:type="character" w:styleId="OdstavecseseznamemChar" w:customStyle="1">
    <w:name w:val="Odstavec se seznamem Char"/>
    <w:link w:val="Odstavecseseznamem"/>
    <w:uiPriority w:val="99"/>
    <w:qFormat/>
    <w:locked/>
    <w:rsid w:val="006d71e0"/>
    <w:rPr>
      <w:rFonts w:ascii="Calibri" w:hAnsi="Calibri" w:eastAsia="Calibri" w:cs="Times New Roman"/>
      <w:sz w:val="22"/>
      <w:szCs w:val="22"/>
      <w:lang w:eastAsia="en-US"/>
    </w:rPr>
  </w:style>
  <w:style w:type="character" w:styleId="Odkaznaregister" w:customStyle="1">
    <w:name w:val="Odkaz na register"/>
    <w:qFormat/>
    <w:rsid w:val="00734f77"/>
    <w:rPr/>
  </w:style>
  <w:style w:type="character" w:styleId="Silnzvraznenie" w:customStyle="1">
    <w:name w:val="Silné zvýraznenie"/>
    <w:qFormat/>
    <w:rsid w:val="00881e5e"/>
    <w:rPr>
      <w:b/>
      <w:bCs/>
    </w:rPr>
  </w:style>
  <w:style w:type="paragraph" w:styleId="Nadpis" w:customStyle="1">
    <w:name w:val="Nadpis"/>
    <w:basedOn w:val="Normal"/>
    <w:next w:val="Normal"/>
    <w:qFormat/>
    <w:rsid w:val="005f7ef4"/>
    <w:pPr>
      <w:spacing w:lineRule="auto" w:line="240" w:before="0" w:after="0"/>
      <w:contextualSpacing/>
    </w:pPr>
    <w:rPr>
      <w:rFonts w:ascii="Calibri Light" w:hAnsi="Calibri Light" w:eastAsia="Times New Roman" w:cs="Calibri Light"/>
      <w:spacing w:val="-10"/>
      <w:kern w:val="2"/>
      <w:sz w:val="56"/>
      <w:szCs w:val="56"/>
    </w:rPr>
  </w:style>
  <w:style w:type="paragraph" w:styleId="Telotextu">
    <w:name w:val="Body Text"/>
    <w:basedOn w:val="Normal"/>
    <w:rsid w:val="005f7ef4"/>
    <w:pPr>
      <w:spacing w:before="0" w:after="140"/>
    </w:pPr>
    <w:rPr/>
  </w:style>
  <w:style w:type="paragraph" w:styleId="Zoznam">
    <w:name w:val="List"/>
    <w:basedOn w:val="Telotextu"/>
    <w:rsid w:val="005f7ef4"/>
    <w:pPr/>
    <w:rPr>
      <w:rFonts w:cs="Arial"/>
    </w:rPr>
  </w:style>
  <w:style w:type="paragraph" w:styleId="Popis" w:customStyle="1">
    <w:name w:val="Caption"/>
    <w:basedOn w:val="Normal"/>
    <w:qFormat/>
    <w:rsid w:val="00881e5e"/>
    <w:pPr>
      <w:suppressLineNumbers/>
      <w:spacing w:before="120" w:after="120"/>
    </w:pPr>
    <w:rPr>
      <w:rFonts w:cs="Arial"/>
      <w:i/>
      <w:iCs/>
    </w:rPr>
  </w:style>
  <w:style w:type="paragraph" w:styleId="Index" w:customStyle="1">
    <w:name w:val="Index"/>
    <w:basedOn w:val="Normal"/>
    <w:qFormat/>
    <w:rsid w:val="005f7ef4"/>
    <w:pPr>
      <w:suppressLineNumbers/>
    </w:pPr>
    <w:rPr>
      <w:rFonts w:cs="Arial"/>
    </w:rPr>
  </w:style>
  <w:style w:type="paragraph" w:styleId="Caption">
    <w:name w:val="caption"/>
    <w:basedOn w:val="Normal"/>
    <w:qFormat/>
    <w:rsid w:val="005f7ef4"/>
    <w:pPr>
      <w:suppressLineNumbers/>
      <w:spacing w:before="120" w:after="120"/>
    </w:pPr>
    <w:rPr>
      <w:rFonts w:cs="Arial"/>
      <w:i/>
      <w:iCs/>
    </w:rPr>
  </w:style>
  <w:style w:type="paragraph" w:styleId="Nadpis11" w:customStyle="1">
    <w:name w:val="Nadpis 11"/>
    <w:basedOn w:val="Odstavecseseznamem1"/>
    <w:next w:val="Normal"/>
    <w:qFormat/>
    <w:rsid w:val="000c77ff"/>
    <w:pPr>
      <w:pageBreakBefore/>
      <w:tabs>
        <w:tab w:val="clear" w:pos="720"/>
        <w:tab w:val="left" w:pos="0" w:leader="none"/>
      </w:tabs>
      <w:spacing w:before="240" w:after="0"/>
      <w:ind w:left="644" w:hanging="360"/>
      <w:outlineLvl w:val="0"/>
    </w:pPr>
    <w:rPr>
      <w:b/>
      <w:color w:val="2F5496"/>
      <w:sz w:val="28"/>
      <w:szCs w:val="24"/>
    </w:rPr>
  </w:style>
  <w:style w:type="paragraph" w:styleId="Nadpis21" w:customStyle="1">
    <w:name w:val="Nadpis 21"/>
    <w:basedOn w:val="Odstavecseseznamem1"/>
    <w:next w:val="Normal"/>
    <w:qFormat/>
    <w:rsid w:val="008608d0"/>
    <w:pPr>
      <w:spacing w:before="240" w:after="120"/>
      <w:jc w:val="both"/>
      <w:outlineLvl w:val="1"/>
    </w:pPr>
    <w:rPr>
      <w:b/>
      <w:szCs w:val="24"/>
    </w:rPr>
  </w:style>
  <w:style w:type="paragraph" w:styleId="Nadpis31" w:customStyle="1">
    <w:name w:val="Nadpis 31"/>
    <w:basedOn w:val="Odstavecseseznamem1"/>
    <w:next w:val="Normal"/>
    <w:qFormat/>
    <w:rsid w:val="005f7ef4"/>
    <w:pPr>
      <w:tabs>
        <w:tab w:val="clear" w:pos="720"/>
        <w:tab w:val="left" w:pos="0" w:leader="none"/>
      </w:tabs>
      <w:spacing w:before="240" w:after="120"/>
      <w:ind w:left="1080" w:hanging="720"/>
      <w:outlineLvl w:val="2"/>
    </w:pPr>
    <w:rPr>
      <w:b/>
      <w:i/>
      <w:szCs w:val="24"/>
    </w:rPr>
  </w:style>
  <w:style w:type="paragraph" w:styleId="Popis1" w:customStyle="1">
    <w:name w:val="Popis1"/>
    <w:basedOn w:val="Normal"/>
    <w:qFormat/>
    <w:rsid w:val="00734f77"/>
    <w:pPr>
      <w:suppressLineNumbers/>
      <w:spacing w:before="120" w:after="120"/>
    </w:pPr>
    <w:rPr>
      <w:rFonts w:cs="Arial"/>
      <w:i/>
      <w:iCs/>
    </w:rPr>
  </w:style>
  <w:style w:type="paragraph" w:styleId="Odstavecseseznamem1" w:customStyle="1">
    <w:name w:val="Odstavec se seznamem1"/>
    <w:basedOn w:val="Normal"/>
    <w:qFormat/>
    <w:rsid w:val="005f7ef4"/>
    <w:pPr>
      <w:spacing w:before="0" w:after="200"/>
      <w:ind w:left="720" w:hanging="0"/>
      <w:contextualSpacing/>
    </w:pPr>
    <w:rPr>
      <w:szCs w:val="22"/>
    </w:rPr>
  </w:style>
  <w:style w:type="paragraph" w:styleId="Zkladntext1" w:customStyle="1">
    <w:name w:val="Základní text1"/>
    <w:basedOn w:val="Normal"/>
    <w:qFormat/>
    <w:rsid w:val="005f7ef4"/>
    <w:pPr>
      <w:widowControl w:val="false"/>
      <w:spacing w:lineRule="auto" w:line="240" w:before="0" w:after="0"/>
    </w:pPr>
    <w:rPr>
      <w:rFonts w:eastAsia="Times New Roman"/>
      <w:szCs w:val="20"/>
      <w:lang w:val="cs-CZ"/>
    </w:rPr>
  </w:style>
  <w:style w:type="paragraph" w:styleId="Odsadenietelatextu">
    <w:name w:val="Body Text Indent"/>
    <w:basedOn w:val="Zkladntext1"/>
    <w:rsid w:val="005f7ef4"/>
    <w:pPr>
      <w:spacing w:lineRule="auto" w:line="324"/>
      <w:ind w:left="360" w:hanging="0"/>
    </w:pPr>
    <w:rPr>
      <w:rFonts w:ascii="Arial" w:hAnsi="Arial" w:cs="Arial"/>
      <w:sz w:val="20"/>
    </w:rPr>
  </w:style>
  <w:style w:type="paragraph" w:styleId="BalloonText">
    <w:name w:val="Balloon Text"/>
    <w:basedOn w:val="Normal"/>
    <w:qFormat/>
    <w:rsid w:val="005f7ef4"/>
    <w:pPr>
      <w:spacing w:lineRule="auto" w:line="240" w:before="0" w:after="0"/>
    </w:pPr>
    <w:rPr>
      <w:rFonts w:ascii="Tahoma" w:hAnsi="Tahoma" w:cs="Tahoma"/>
      <w:sz w:val="16"/>
      <w:szCs w:val="16"/>
    </w:rPr>
  </w:style>
  <w:style w:type="paragraph" w:styleId="Default" w:customStyle="1">
    <w:name w:val="Default"/>
    <w:qFormat/>
    <w:rsid w:val="005f7ef4"/>
    <w:pPr>
      <w:widowControl/>
      <w:suppressAutoHyphens w:val="true"/>
      <w:bidi w:val="0"/>
      <w:jc w:val="left"/>
    </w:pPr>
    <w:rPr>
      <w:rFonts w:ascii="Arial" w:hAnsi="Arial" w:eastAsia="Calibri" w:cs="Arial"/>
      <w:color w:val="000000"/>
      <w:kern w:val="0"/>
      <w:sz w:val="24"/>
      <w:szCs w:val="24"/>
      <w:lang w:eastAsia="zh-CN" w:val="sk-SK" w:bidi="ar-SA"/>
    </w:rPr>
  </w:style>
  <w:style w:type="paragraph" w:styleId="Textkomente1" w:customStyle="1">
    <w:name w:val="Text komentáře1"/>
    <w:basedOn w:val="Normal"/>
    <w:qFormat/>
    <w:rsid w:val="005f7ef4"/>
    <w:pPr/>
    <w:rPr>
      <w:rFonts w:ascii="Calibri" w:hAnsi="Calibri" w:cs="Calibri"/>
      <w:sz w:val="20"/>
      <w:szCs w:val="20"/>
    </w:rPr>
  </w:style>
  <w:style w:type="paragraph" w:styleId="Pedmtkomente1" w:customStyle="1">
    <w:name w:val="Předmět komentáře1"/>
    <w:basedOn w:val="Textkomente1"/>
    <w:next w:val="Textkomente1"/>
    <w:qFormat/>
    <w:rsid w:val="005f7ef4"/>
    <w:pPr/>
    <w:rPr/>
  </w:style>
  <w:style w:type="paragraph" w:styleId="Hlavikaapta" w:customStyle="1">
    <w:name w:val="Hlavička a päta"/>
    <w:basedOn w:val="Normal"/>
    <w:qFormat/>
    <w:rsid w:val="005f7ef4"/>
    <w:pPr>
      <w:suppressLineNumbers/>
      <w:tabs>
        <w:tab w:val="clear" w:pos="720"/>
        <w:tab w:val="center" w:pos="4819" w:leader="none"/>
        <w:tab w:val="right" w:pos="9638" w:leader="none"/>
      </w:tabs>
    </w:pPr>
    <w:rPr/>
  </w:style>
  <w:style w:type="paragraph" w:styleId="Hlavika1" w:customStyle="1">
    <w:name w:val="Hlavička1"/>
    <w:basedOn w:val="Normal"/>
    <w:qFormat/>
    <w:rsid w:val="005f7ef4"/>
    <w:pPr>
      <w:spacing w:lineRule="auto" w:line="240" w:before="0" w:after="0"/>
    </w:pPr>
    <w:rPr>
      <w:rFonts w:ascii="Calibri" w:hAnsi="Calibri" w:cs="Calibri"/>
      <w:sz w:val="20"/>
      <w:szCs w:val="20"/>
    </w:rPr>
  </w:style>
  <w:style w:type="paragraph" w:styleId="Pta1" w:customStyle="1">
    <w:name w:val="Päta1"/>
    <w:basedOn w:val="Normal"/>
    <w:qFormat/>
    <w:rsid w:val="005f7ef4"/>
    <w:pPr>
      <w:spacing w:lineRule="auto" w:line="240" w:before="0" w:after="0"/>
    </w:pPr>
    <w:rPr>
      <w:rFonts w:ascii="Calibri" w:hAnsi="Calibri" w:cs="Calibri"/>
      <w:sz w:val="20"/>
      <w:szCs w:val="20"/>
    </w:rPr>
  </w:style>
  <w:style w:type="paragraph" w:styleId="Vchodzie" w:customStyle="1">
    <w:name w:val="Vchodzie"/>
    <w:qFormat/>
    <w:rsid w:val="005f7ef4"/>
    <w:pPr>
      <w:widowControl w:val="false"/>
      <w:suppressAutoHyphens w:val="true"/>
      <w:bidi w:val="0"/>
      <w:jc w:val="left"/>
    </w:pPr>
    <w:rPr>
      <w:rFonts w:cs="Arial" w:ascii="Times New Roman" w:hAnsi="Times New Roman" w:eastAsia="Times New Roman"/>
      <w:color w:val="auto"/>
      <w:kern w:val="2"/>
      <w:sz w:val="24"/>
      <w:szCs w:val="24"/>
      <w:lang w:eastAsia="zh-CN" w:bidi="hi-IN" w:val="sk-SK"/>
    </w:rPr>
  </w:style>
  <w:style w:type="paragraph" w:styleId="Normlnweb1" w:customStyle="1">
    <w:name w:val="Normální (web)1"/>
    <w:basedOn w:val="Normal"/>
    <w:qFormat/>
    <w:rsid w:val="005f7ef4"/>
    <w:pPr>
      <w:spacing w:lineRule="auto" w:line="240" w:before="280" w:after="280"/>
    </w:pPr>
    <w:rPr>
      <w:rFonts w:eastAsia="Times New Roman"/>
    </w:rPr>
  </w:style>
  <w:style w:type="paragraph" w:styleId="N3" w:customStyle="1">
    <w:name w:val="N3"/>
    <w:basedOn w:val="Nadpis31"/>
    <w:qFormat/>
    <w:rsid w:val="005f7ef4"/>
    <w:pPr>
      <w:tabs>
        <w:tab w:val="clear" w:pos="0"/>
      </w:tabs>
      <w:ind w:left="0" w:hanging="0"/>
      <w:jc w:val="both"/>
    </w:pPr>
    <w:rPr>
      <w:b w:val="false"/>
      <w:i w:val="false"/>
      <w:sz w:val="20"/>
      <w:szCs w:val="20"/>
    </w:rPr>
  </w:style>
  <w:style w:type="paragraph" w:styleId="Obsah11" w:customStyle="1">
    <w:name w:val="Obsah 11"/>
    <w:basedOn w:val="Normal"/>
    <w:next w:val="Normal"/>
    <w:uiPriority w:val="39"/>
    <w:qFormat/>
    <w:rsid w:val="005f7ef4"/>
    <w:pPr>
      <w:spacing w:before="120" w:after="120"/>
    </w:pPr>
    <w:rPr>
      <w:rFonts w:ascii="Calibri" w:hAnsi="Calibri" w:cs="Calibri"/>
      <w:caps/>
      <w:sz w:val="20"/>
      <w:szCs w:val="20"/>
    </w:rPr>
  </w:style>
  <w:style w:type="paragraph" w:styleId="Obsah21" w:customStyle="1">
    <w:name w:val="Obsah 21"/>
    <w:basedOn w:val="Normal"/>
    <w:next w:val="Normal"/>
    <w:uiPriority w:val="39"/>
    <w:qFormat/>
    <w:rsid w:val="005f7ef4"/>
    <w:pPr>
      <w:spacing w:before="0" w:after="0"/>
      <w:ind w:left="220" w:hanging="0"/>
    </w:pPr>
    <w:rPr>
      <w:rFonts w:ascii="Calibri" w:hAnsi="Calibri" w:cs="Calibri"/>
      <w:smallCaps/>
      <w:sz w:val="20"/>
      <w:szCs w:val="20"/>
    </w:rPr>
  </w:style>
  <w:style w:type="paragraph" w:styleId="Obsah31" w:customStyle="1">
    <w:name w:val="Obsah 31"/>
    <w:basedOn w:val="Normal"/>
    <w:next w:val="Normal"/>
    <w:qFormat/>
    <w:rsid w:val="005f7ef4"/>
    <w:pPr>
      <w:spacing w:before="0" w:after="0"/>
      <w:ind w:left="440" w:hanging="0"/>
    </w:pPr>
    <w:rPr>
      <w:rFonts w:ascii="Calibri" w:hAnsi="Calibri" w:cs="Calibri"/>
      <w:i/>
      <w:iCs/>
      <w:sz w:val="20"/>
      <w:szCs w:val="20"/>
    </w:rPr>
  </w:style>
  <w:style w:type="paragraph" w:styleId="Obsah41" w:customStyle="1">
    <w:name w:val="Obsah 41"/>
    <w:basedOn w:val="Normal"/>
    <w:next w:val="Normal"/>
    <w:qFormat/>
    <w:rsid w:val="005f7ef4"/>
    <w:pPr>
      <w:spacing w:before="0" w:after="0"/>
      <w:ind w:left="660" w:hanging="0"/>
    </w:pPr>
    <w:rPr>
      <w:rFonts w:ascii="Calibri" w:hAnsi="Calibri" w:cs="Calibri"/>
      <w:sz w:val="18"/>
      <w:szCs w:val="18"/>
    </w:rPr>
  </w:style>
  <w:style w:type="paragraph" w:styleId="Obsah51" w:customStyle="1">
    <w:name w:val="Obsah 51"/>
    <w:basedOn w:val="Normal"/>
    <w:next w:val="Normal"/>
    <w:qFormat/>
    <w:rsid w:val="005f7ef4"/>
    <w:pPr>
      <w:spacing w:before="0" w:after="0"/>
      <w:ind w:left="880" w:hanging="0"/>
    </w:pPr>
    <w:rPr>
      <w:rFonts w:ascii="Calibri" w:hAnsi="Calibri" w:cs="Calibri"/>
      <w:sz w:val="18"/>
      <w:szCs w:val="18"/>
    </w:rPr>
  </w:style>
  <w:style w:type="paragraph" w:styleId="Obsah61" w:customStyle="1">
    <w:name w:val="Obsah 61"/>
    <w:basedOn w:val="Normal"/>
    <w:next w:val="Normal"/>
    <w:qFormat/>
    <w:rsid w:val="005f7ef4"/>
    <w:pPr>
      <w:spacing w:before="0" w:after="0"/>
      <w:ind w:left="1100" w:hanging="0"/>
    </w:pPr>
    <w:rPr>
      <w:rFonts w:ascii="Calibri" w:hAnsi="Calibri" w:cs="Calibri"/>
      <w:sz w:val="18"/>
      <w:szCs w:val="18"/>
    </w:rPr>
  </w:style>
  <w:style w:type="paragraph" w:styleId="Obsah71" w:customStyle="1">
    <w:name w:val="Obsah 71"/>
    <w:basedOn w:val="Normal"/>
    <w:next w:val="Normal"/>
    <w:qFormat/>
    <w:rsid w:val="005f7ef4"/>
    <w:pPr>
      <w:spacing w:before="0" w:after="0"/>
      <w:ind w:left="1320" w:hanging="0"/>
    </w:pPr>
    <w:rPr>
      <w:rFonts w:ascii="Calibri" w:hAnsi="Calibri" w:cs="Calibri"/>
      <w:sz w:val="18"/>
      <w:szCs w:val="18"/>
    </w:rPr>
  </w:style>
  <w:style w:type="paragraph" w:styleId="Obsah81" w:customStyle="1">
    <w:name w:val="Obsah 81"/>
    <w:basedOn w:val="Normal"/>
    <w:next w:val="Normal"/>
    <w:qFormat/>
    <w:rsid w:val="005f7ef4"/>
    <w:pPr>
      <w:spacing w:before="0" w:after="0"/>
      <w:ind w:left="1540" w:hanging="0"/>
    </w:pPr>
    <w:rPr>
      <w:rFonts w:ascii="Calibri" w:hAnsi="Calibri" w:cs="Calibri"/>
      <w:sz w:val="18"/>
      <w:szCs w:val="18"/>
    </w:rPr>
  </w:style>
  <w:style w:type="paragraph" w:styleId="Obsah91" w:customStyle="1">
    <w:name w:val="Obsah 91"/>
    <w:basedOn w:val="Normal"/>
    <w:next w:val="Normal"/>
    <w:qFormat/>
    <w:rsid w:val="005f7ef4"/>
    <w:pPr>
      <w:spacing w:before="0" w:after="0"/>
      <w:ind w:left="1760" w:hanging="0"/>
    </w:pPr>
    <w:rPr>
      <w:rFonts w:ascii="Calibri" w:hAnsi="Calibri" w:cs="Calibri"/>
      <w:sz w:val="18"/>
      <w:szCs w:val="18"/>
    </w:rPr>
  </w:style>
  <w:style w:type="paragraph" w:styleId="Bezmezer1" w:customStyle="1">
    <w:name w:val="Bez mezer1"/>
    <w:qFormat/>
    <w:rsid w:val="005f7ef4"/>
    <w:pPr>
      <w:widowControl/>
      <w:suppressAutoHyphens w:val="true"/>
      <w:bidi w:val="0"/>
      <w:jc w:val="left"/>
    </w:pPr>
    <w:rPr>
      <w:rFonts w:eastAsia="Calibri" w:ascii="Times New Roman" w:hAnsi="Times New Roman" w:cs="Times New Roman"/>
      <w:color w:val="auto"/>
      <w:kern w:val="0"/>
      <w:sz w:val="24"/>
      <w:szCs w:val="22"/>
      <w:lang w:eastAsia="zh-CN" w:val="sk-SK" w:bidi="ar-SA"/>
    </w:rPr>
  </w:style>
  <w:style w:type="paragraph" w:styleId="Obsahtabuky" w:customStyle="1">
    <w:name w:val="Obsah tabuľky"/>
    <w:basedOn w:val="Normal"/>
    <w:qFormat/>
    <w:rsid w:val="005f7ef4"/>
    <w:pPr>
      <w:widowControl w:val="false"/>
      <w:suppressLineNumbers/>
      <w:spacing w:lineRule="auto" w:line="240" w:before="0" w:after="0"/>
    </w:pPr>
    <w:rPr>
      <w:rFonts w:ascii="Liberation Serif" w:hAnsi="Liberation Serif" w:eastAsia="SimSun" w:cs="Arial"/>
      <w:color w:val="00000A"/>
      <w:kern w:val="2"/>
      <w:lang w:bidi="hi-IN"/>
    </w:rPr>
  </w:style>
  <w:style w:type="paragraph" w:styleId="Titulek1" w:customStyle="1">
    <w:name w:val="Titulek1"/>
    <w:basedOn w:val="Normal"/>
    <w:next w:val="Normal"/>
    <w:qFormat/>
    <w:rsid w:val="005f7ef4"/>
    <w:pPr>
      <w:spacing w:lineRule="auto" w:line="240"/>
    </w:pPr>
    <w:rPr>
      <w:rFonts w:ascii="Calibri" w:hAnsi="Calibri"/>
      <w:b/>
      <w:bCs/>
      <w:color w:val="4F81BD"/>
      <w:sz w:val="18"/>
      <w:szCs w:val="18"/>
    </w:rPr>
  </w:style>
  <w:style w:type="paragraph" w:styleId="Nadpistabuky" w:customStyle="1">
    <w:name w:val="Nadpis tabuľky"/>
    <w:basedOn w:val="Obsahtabuky"/>
    <w:qFormat/>
    <w:rsid w:val="005f7ef4"/>
    <w:pPr>
      <w:jc w:val="center"/>
    </w:pPr>
    <w:rPr>
      <w:b/>
      <w:bCs/>
    </w:rPr>
  </w:style>
  <w:style w:type="paragraph" w:styleId="Bezmezer2" w:customStyle="1">
    <w:name w:val="Bez mezer2"/>
    <w:qFormat/>
    <w:rsid w:val="005f7ef4"/>
    <w:pPr>
      <w:widowControl/>
      <w:suppressAutoHyphens w:val="true"/>
      <w:bidi w:val="0"/>
      <w:jc w:val="left"/>
    </w:pPr>
    <w:rPr>
      <w:rFonts w:ascii="Liberation Serif" w:hAnsi="Liberation Serif" w:eastAsia="font308" w:cs="Arial"/>
      <w:color w:val="auto"/>
      <w:kern w:val="0"/>
      <w:sz w:val="24"/>
      <w:szCs w:val="24"/>
      <w:lang w:bidi="hi-IN" w:val="sk-SK" w:eastAsia="sk-SK"/>
    </w:rPr>
  </w:style>
  <w:style w:type="paragraph" w:styleId="Annotationtext">
    <w:name w:val="annotation text"/>
    <w:basedOn w:val="Normal"/>
    <w:link w:val="TextkomenteChar1"/>
    <w:uiPriority w:val="99"/>
    <w:unhideWhenUsed/>
    <w:qFormat/>
    <w:rsid w:val="007263c2"/>
    <w:pPr/>
    <w:rPr>
      <w:sz w:val="20"/>
      <w:szCs w:val="20"/>
    </w:rPr>
  </w:style>
  <w:style w:type="paragraph" w:styleId="Annotationsubject">
    <w:name w:val="annotation subject"/>
    <w:basedOn w:val="Annotationtext"/>
    <w:next w:val="Annotationtext"/>
    <w:link w:val="PedmtkomenteChar1"/>
    <w:uiPriority w:val="99"/>
    <w:semiHidden/>
    <w:unhideWhenUsed/>
    <w:qFormat/>
    <w:rsid w:val="007263c2"/>
    <w:pPr/>
    <w:rPr>
      <w:b/>
      <w:bCs/>
    </w:rPr>
  </w:style>
  <w:style w:type="paragraph" w:styleId="Revision">
    <w:name w:val="Revision"/>
    <w:uiPriority w:val="99"/>
    <w:semiHidden/>
    <w:qFormat/>
    <w:rsid w:val="00ee6217"/>
    <w:pPr>
      <w:widowControl/>
      <w:bidi w:val="0"/>
      <w:jc w:val="left"/>
    </w:pPr>
    <w:rPr>
      <w:rFonts w:eastAsia="Calibri" w:ascii="Times New Roman" w:hAnsi="Times New Roman" w:cs="Times New Roman"/>
      <w:color w:val="auto"/>
      <w:kern w:val="0"/>
      <w:sz w:val="24"/>
      <w:szCs w:val="24"/>
      <w:lang w:eastAsia="zh-CN" w:val="sk-SK" w:bidi="ar-SA"/>
    </w:rPr>
  </w:style>
  <w:style w:type="paragraph" w:styleId="ListParagraph">
    <w:name w:val="List Paragraph"/>
    <w:basedOn w:val="Normal"/>
    <w:link w:val="OdstavecseseznamemChar"/>
    <w:uiPriority w:val="99"/>
    <w:qFormat/>
    <w:rsid w:val="00eb62ac"/>
    <w:pPr>
      <w:suppressAutoHyphens w:val="false"/>
      <w:spacing w:before="0" w:after="200"/>
      <w:ind w:left="720" w:hanging="0"/>
      <w:contextualSpacing/>
    </w:pPr>
    <w:rPr>
      <w:rFonts w:ascii="Calibri" w:hAnsi="Calibri"/>
      <w:sz w:val="22"/>
      <w:szCs w:val="22"/>
      <w:lang w:eastAsia="en-US"/>
    </w:rPr>
  </w:style>
  <w:style w:type="paragraph" w:styleId="Pta" w:customStyle="1">
    <w:name w:val="Footer"/>
    <w:basedOn w:val="Hlavikaapta"/>
    <w:rsid w:val="00881e5e"/>
    <w:pPr/>
    <w:rPr/>
  </w:style>
  <w:style w:type="paragraph" w:styleId="Hlavika" w:customStyle="1">
    <w:name w:val="Header"/>
    <w:basedOn w:val="Hlavikaapta"/>
    <w:rsid w:val="00881e5e"/>
    <w:pPr/>
    <w:rPr/>
  </w:style>
  <w:style w:type="paragraph" w:styleId="Obsah1">
    <w:name w:val="TOC 1"/>
    <w:basedOn w:val="Normal"/>
    <w:next w:val="Normal"/>
    <w:autoRedefine/>
    <w:uiPriority w:val="39"/>
    <w:unhideWhenUsed/>
    <w:rsid w:val="00011086"/>
    <w:pPr>
      <w:tabs>
        <w:tab w:val="clear" w:pos="720"/>
        <w:tab w:val="right" w:pos="9062" w:leader="dot"/>
      </w:tabs>
      <w:spacing w:before="0" w:after="100"/>
    </w:pPr>
    <w:rPr>
      <w:b/>
      <w:sz w:val="22"/>
      <w:szCs w:val="22"/>
    </w:rPr>
  </w:style>
  <w:style w:type="paragraph" w:styleId="Obsah2">
    <w:name w:val="TOC 2"/>
    <w:basedOn w:val="Normal"/>
    <w:next w:val="Normal"/>
    <w:autoRedefine/>
    <w:uiPriority w:val="39"/>
    <w:unhideWhenUsed/>
    <w:rsid w:val="00011086"/>
    <w:pPr>
      <w:tabs>
        <w:tab w:val="clear" w:pos="720"/>
        <w:tab w:val="right" w:pos="9062" w:leader="dot"/>
      </w:tabs>
      <w:spacing w:before="0" w:after="100"/>
      <w:ind w:left="240" w:hanging="0"/>
    </w:pPr>
    <w:rPr>
      <w:b/>
      <w:sz w:val="22"/>
      <w:szCs w:val="22"/>
    </w:rPr>
  </w:style>
  <w:style w:type="numbering" w:styleId="NoList" w:default="1">
    <w:name w:val="No List"/>
    <w:uiPriority w:val="99"/>
    <w:semiHidden/>
    <w:unhideWhenUsed/>
    <w:qFormat/>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table" w:styleId="Mkatabulky">
    <w:name w:val="Table Grid"/>
    <w:basedOn w:val="Normlntabulka"/>
    <w:uiPriority w:val="59"/>
    <w:rsid w:val="002f5ac0"/>
    <w:rPr>
      <w:lang w:eastAsia="en-US"/>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package" Target="embeddings/oleObject1.xlsx"/><Relationship Id="rId8" Type="http://schemas.openxmlformats.org/officeDocument/2006/relationships/image" Target="media/image5.emf"/><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eader" Target="header1.xml"/><Relationship Id="rId13" Type="http://schemas.openxmlformats.org/officeDocument/2006/relationships/footer" Target="footer2.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4985A-8C38-49DC-B9DE-B89015DEC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Application>LibreOffice/6.3.3.2$Windows_X86_64 LibreOffice_project/a64200df03143b798afd1ec74a12ab50359878ed</Application>
  <Pages>42</Pages>
  <Words>14098</Words>
  <Characters>80359</Characters>
  <CharactersWithSpaces>94269</CharactersWithSpaces>
  <Paragraphs>188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2020-12-21T05:22:00Z</dcterms:created>
  <dc:creator>SPRAVCA</dc:creator>
  <dc:description/>
  <dc:language>sk-SK</dc:language>
  <cp:lastModifiedBy/>
  <cp:lastPrinted>2020-12-21T09:15:00Z</cp:lastPrinted>
  <dcterms:modified xsi:type="dcterms:W3CDTF">2021-05-04T12:52:07Z</dcterms:modified>
  <cp:revision>194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