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PRÍLOHA  11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Akčný plán komunikácie</w:t>
      </w:r>
    </w:p>
    <w:p>
      <w:pPr>
        <w:pStyle w:val="Normal"/>
        <w:widowControl w:val="false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tbl>
      <w:tblPr>
        <w:tblW w:w="913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44"/>
        <w:gridCol w:w="2822"/>
        <w:gridCol w:w="1869"/>
        <w:gridCol w:w="1797"/>
      </w:tblGrid>
      <w:tr>
        <w:trPr>
          <w:trHeight w:val="36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Cieľová skupina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Prijímatelia sociálnych služieb</w:t>
            </w:r>
          </w:p>
        </w:tc>
      </w:tr>
      <w:tr>
        <w:trPr>
          <w:trHeight w:val="265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Cieľ: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Pravidelná, dostatočná a zrozumiteľná informovanosť prijímateľov sociálnych služieb</w:t>
            </w:r>
          </w:p>
        </w:tc>
      </w:tr>
      <w:tr>
        <w:trPr>
          <w:trHeight w:val="198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Podcieľ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Aktivita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Zodpovedná osoba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Obdobie realizácie</w:t>
            </w:r>
          </w:p>
        </w:tc>
      </w:tr>
      <w:tr>
        <w:trPr>
          <w:trHeight w:val="84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Zvýšiť informovanosť o postupe transformácie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Stretnutia prijímateľov,  v rámci individuálnych rozhovorov 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Koordinátori IP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Počas celej transformácie</w:t>
            </w:r>
          </w:p>
        </w:tc>
      </w:tr>
      <w:tr>
        <w:trPr>
          <w:trHeight w:val="556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Mechanizmus spätnej väzby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Rozhovory pri hodnotení IP, ...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Kľúčoví zamestnanci, riaditeľka DSS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Počas celej transformácie</w:t>
            </w:r>
          </w:p>
        </w:tc>
      </w:tr>
      <w:tr>
        <w:trPr>
          <w:trHeight w:val="36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Cieľová skupina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Zamestnanci zariadenia</w:t>
            </w:r>
          </w:p>
        </w:tc>
      </w:tr>
      <w:tr>
        <w:trPr>
          <w:trHeight w:val="265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Cieľ: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Pravidelná a dostatočná informovanosť zamestnancov s cieľom posilniť angažovanosť v realizácii transformácie </w:t>
            </w:r>
          </w:p>
        </w:tc>
      </w:tr>
      <w:tr>
        <w:trPr>
          <w:trHeight w:val="236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Podcieľ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Aktivita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Zodpovedná osoba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Obdobie realizácie</w:t>
            </w:r>
          </w:p>
        </w:tc>
      </w:tr>
      <w:tr>
        <w:trPr>
          <w:trHeight w:val="843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Zvýšiť informovanosť o postupe transformácie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Informácia na pravidelne organizovaných poradách na jednotlivých úsekoch   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Vedúci úsekov na základe informácií zo stretnutí užšieho vedenia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Počas celej transformácie</w:t>
            </w:r>
          </w:p>
        </w:tc>
      </w:tr>
      <w:tr>
        <w:trPr>
          <w:trHeight w:val="733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Mechanizmus spätnej väzby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Porady, supervízie, individuálne rozhovory, e-mailová komunikácia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Vedúci úsekov, riaditeľka DSS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Počas celej transformácie</w:t>
            </w:r>
          </w:p>
        </w:tc>
      </w:tr>
      <w:tr>
        <w:trPr>
          <w:trHeight w:val="36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Cieľová skupina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Rodinní príslušníci a opatrovníci</w:t>
            </w:r>
          </w:p>
        </w:tc>
      </w:tr>
      <w:tr>
        <w:trPr>
          <w:trHeight w:val="265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Cieľ: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Otvorene a zrozumiteľne komunikovať o zmenách s rodinnými príslušníkmi a opatrovníkmi</w:t>
            </w:r>
          </w:p>
        </w:tc>
      </w:tr>
      <w:tr>
        <w:trPr>
          <w:trHeight w:val="348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Podcieľ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Aktivity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Zodpovedná osoba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Obdobie realizácie</w:t>
            </w:r>
          </w:p>
        </w:tc>
      </w:tr>
      <w:tr>
        <w:trPr>
          <w:trHeight w:val="534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Zvýšiť informovanosť o postupe transformácie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Stretnutia rodinných príslušníkov, návštevy v DSS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Riaditeľka DSS, vedúci úsekov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Počas celej transformácie</w:t>
            </w:r>
          </w:p>
        </w:tc>
      </w:tr>
      <w:tr>
        <w:trPr>
          <w:trHeight w:val="840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Účasť  rodiny na zmene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Individuálne plánovanie pre ich príbuzného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Kľúčoví zamestnanci koordinátori IP, riaditeľka DSS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Kontinuálne; podľa harmonogramu zmien</w:t>
            </w:r>
          </w:p>
        </w:tc>
      </w:tr>
      <w:tr>
        <w:trPr>
          <w:trHeight w:val="36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Cieľová skupina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</w:rPr>
              <w:t>Verejnosť</w:t>
            </w:r>
          </w:p>
        </w:tc>
      </w:tr>
      <w:tr>
        <w:trPr>
          <w:trHeight w:val="265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Cieľ:</w:t>
            </w:r>
          </w:p>
        </w:tc>
        <w:tc>
          <w:tcPr>
            <w:tcW w:w="6488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Otvorene a zrozumiteľne komunikovať o zmenách s verejnosťou – odbornou aj laickou</w:t>
            </w:r>
          </w:p>
        </w:tc>
      </w:tr>
      <w:tr>
        <w:trPr>
          <w:trHeight w:val="226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Podcieľ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Aktivity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Zodpovedná osoba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Obdobie realizácie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tbl>
      <w:tblPr>
        <w:tblW w:w="913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44"/>
        <w:gridCol w:w="2822"/>
        <w:gridCol w:w="1869"/>
        <w:gridCol w:w="1797"/>
      </w:tblGrid>
      <w:tr>
        <w:trPr>
          <w:trHeight w:val="958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Zabezpečenie informovania a získanie podpory a kooperácie zo strany zriaďovateľa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Osobné stretnutia a konzultácie so zamestnancami  úradu BBSK a poslancami zastupiteľstva BBSK za okres ZH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Riaditeľka DSS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Pri príprave žiadosti o NFP</w:t>
            </w:r>
          </w:p>
        </w:tc>
      </w:tr>
      <w:tr>
        <w:trPr>
          <w:trHeight w:val="97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Zabezpečenie informovania a získanie podpory a kooperácie od samosprávy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Osobné stretnutia s primátormi a starostami dotknutých samospráv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riaditeľka DSS, členovia transformačného tímu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Pri príprave žiadosti o NFP</w:t>
            </w:r>
          </w:p>
        </w:tc>
      </w:tr>
      <w:tr>
        <w:trPr>
          <w:trHeight w:val="985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Zabezpečenie informovania a nadviazanie spolupráce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Informačné stretnutia s predstaviteľmi úradov, kultúrnych, spoločenských a sociálnych organizácii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riaditeľka DSS, členovia transformačného tímu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Jeseň 2018 a potom priebežne</w:t>
            </w:r>
          </w:p>
        </w:tc>
      </w:tr>
      <w:tr>
        <w:trPr>
          <w:trHeight w:val="97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zcitlivovanie verejnosti, nadväzovanie neformálnych vzťahov, dobrovoľníctvo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Neformálne aktivity v komunite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riaditeľka DSS, členovia transformačného tímu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priebežne</w:t>
            </w:r>
          </w:p>
        </w:tc>
      </w:tr>
      <w:tr>
        <w:trPr>
          <w:trHeight w:val="971" w:hRule="atLeast"/>
        </w:trPr>
        <w:tc>
          <w:tcPr>
            <w:tcW w:w="2644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Informovanie verejnosti</w:t>
            </w:r>
          </w:p>
        </w:tc>
        <w:tc>
          <w:tcPr>
            <w:tcW w:w="2822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Webová stránka, </w:t>
            </w:r>
          </w:p>
        </w:tc>
        <w:tc>
          <w:tcPr>
            <w:tcW w:w="1869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riaditeľka DSS, členovia transformačného tímu</w:t>
            </w:r>
          </w:p>
        </w:tc>
        <w:tc>
          <w:tcPr>
            <w:tcW w:w="1797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priebežne</w:t>
            </w:r>
          </w:p>
        </w:tc>
      </w:tr>
    </w:tbl>
    <w:p>
      <w:pPr>
        <w:pStyle w:val="Normal"/>
        <w:widowControl w:val="false"/>
        <w:spacing w:lineRule="atLeast" w:line="22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bCs/>
        <w:szCs w:val="24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6a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b w:val="false"/>
      <w:bCs w:val="false"/>
      <w:color w:val="auto"/>
      <w:kern w:val="0"/>
      <w:sz w:val="22"/>
      <w:szCs w:val="22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LibreOffice/6.3.3.2$Windows_X86_64 LibreOffice_project/a64200df03143b798afd1ec74a12ab50359878ed</Application>
  <Pages>2</Pages>
  <Words>401</Words>
  <Characters>2286</Characters>
  <CharactersWithSpaces>2682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2018-07-11T12:52:00Z</dcterms:created>
  <dc:creator>SPRAVCA</dc:creator>
  <dc:description/>
  <dc:language>sk-SK</dc:language>
  <cp:lastModifiedBy/>
  <dcterms:modified xsi:type="dcterms:W3CDTF">2020-12-10T11:52:01Z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