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60"/>
        <w:jc w:val="both"/>
        <w:rPr>
          <w:rFonts w:ascii="Arial" w:hAnsi="Arial" w:cs="Arial"/>
          <w:b/>
          <w:b/>
          <w:bCs/>
        </w:rPr>
      </w:pPr>
      <w:r>
        <w:rPr>
          <w:rFonts w:cs="Arial" w:ascii="Calibri" w:hAnsi="Calibri"/>
          <w:b/>
          <w:bCs/>
          <w:sz w:val="22"/>
          <w:szCs w:val="22"/>
        </w:rPr>
        <w:t>Príloha 9</w:t>
      </w:r>
    </w:p>
    <w:p>
      <w:pPr>
        <w:pStyle w:val="Normal"/>
        <w:widowControl w:val="false"/>
        <w:spacing w:lineRule="auto" w:line="360"/>
        <w:jc w:val="center"/>
        <w:rPr>
          <w:rFonts w:ascii="Arial" w:hAnsi="Arial" w:cs="Arial"/>
          <w:b/>
          <w:b/>
          <w:bCs/>
        </w:rPr>
      </w:pPr>
      <w:r>
        <w:rPr>
          <w:rFonts w:cs="Arial" w:ascii="Calibri" w:hAnsi="Calibri"/>
          <w:b/>
          <w:bCs/>
          <w:sz w:val="22"/>
          <w:szCs w:val="22"/>
        </w:rPr>
        <w:t>Individuálne plánovanie v zariadení</w:t>
      </w:r>
    </w:p>
    <w:p>
      <w:pPr>
        <w:pStyle w:val="Normal"/>
        <w:spacing w:lineRule="auto" w:line="360"/>
        <w:rPr>
          <w:rFonts w:ascii="Calibri" w:hAnsi="Calibri" w:cs="Arial"/>
          <w:sz w:val="22"/>
          <w:szCs w:val="22"/>
        </w:rPr>
      </w:pPr>
      <w:r>
        <w:rPr>
          <w:rFonts w:cs="Arial" w:ascii="Calibri" w:hAnsi="Calibri"/>
          <w:sz w:val="22"/>
          <w:szCs w:val="22"/>
        </w:rPr>
      </w:r>
    </w:p>
    <w:p>
      <w:pPr>
        <w:pStyle w:val="Normal"/>
        <w:spacing w:lineRule="auto" w:line="360"/>
        <w:rPr>
          <w:rFonts w:ascii="Arial" w:hAnsi="Arial" w:cs="Arial"/>
          <w:sz w:val="22"/>
          <w:szCs w:val="22"/>
        </w:rPr>
      </w:pPr>
      <w:r>
        <w:rPr>
          <w:rFonts w:cs="Arial" w:ascii="Calibri" w:hAnsi="Calibri"/>
          <w:sz w:val="22"/>
          <w:szCs w:val="22"/>
        </w:rPr>
        <w:t>Pri individuálnom plánovaní  je potrebné upozorniť na princípy, ktorým by malo zodpovedať nielen individuálne plánovanie ale celá realizácia sociálnych služieb, dotýkajúca sa všetkých druhov sociálnych služieb. Medzi takéto princípy radíme:</w:t>
      </w:r>
    </w:p>
    <w:p>
      <w:pPr>
        <w:pStyle w:val="ListParagraph"/>
        <w:numPr>
          <w:ilvl w:val="0"/>
          <w:numId w:val="1"/>
        </w:numPr>
        <w:tabs>
          <w:tab w:val="clear" w:pos="708"/>
          <w:tab w:val="left" w:pos="709" w:leader="none"/>
        </w:tabs>
        <w:spacing w:lineRule="auto" w:line="360"/>
        <w:jc w:val="both"/>
        <w:rPr>
          <w:rFonts w:ascii="Arial" w:hAnsi="Arial" w:cs="Arial"/>
          <w:sz w:val="22"/>
        </w:rPr>
      </w:pPr>
      <w:r>
        <w:rPr>
          <w:rFonts w:cs="Arial" w:ascii="Calibri" w:hAnsi="Calibri"/>
          <w:sz w:val="22"/>
          <w:szCs w:val="22"/>
        </w:rPr>
        <w:t>Princíp normality</w:t>
      </w:r>
    </w:p>
    <w:p>
      <w:pPr>
        <w:pStyle w:val="ListParagraph"/>
        <w:numPr>
          <w:ilvl w:val="0"/>
          <w:numId w:val="1"/>
        </w:numPr>
        <w:tabs>
          <w:tab w:val="clear" w:pos="708"/>
          <w:tab w:val="left" w:pos="709" w:leader="none"/>
        </w:tabs>
        <w:spacing w:lineRule="auto" w:line="360"/>
        <w:jc w:val="both"/>
        <w:rPr>
          <w:rFonts w:ascii="Arial" w:hAnsi="Arial" w:cs="Arial"/>
          <w:sz w:val="22"/>
        </w:rPr>
      </w:pPr>
      <w:r>
        <w:rPr>
          <w:rFonts w:cs="Arial" w:ascii="Calibri" w:hAnsi="Calibri"/>
          <w:sz w:val="22"/>
          <w:szCs w:val="22"/>
        </w:rPr>
        <w:t>Princíp autonómie</w:t>
      </w:r>
    </w:p>
    <w:p>
      <w:pPr>
        <w:pStyle w:val="ListParagraph"/>
        <w:numPr>
          <w:ilvl w:val="0"/>
          <w:numId w:val="1"/>
        </w:numPr>
        <w:tabs>
          <w:tab w:val="clear" w:pos="708"/>
          <w:tab w:val="left" w:pos="709" w:leader="none"/>
        </w:tabs>
        <w:spacing w:lineRule="auto" w:line="360"/>
        <w:jc w:val="both"/>
        <w:rPr>
          <w:rFonts w:ascii="Arial" w:hAnsi="Arial" w:cs="Arial"/>
          <w:sz w:val="22"/>
        </w:rPr>
      </w:pPr>
      <w:r>
        <w:rPr>
          <w:rFonts w:cs="Arial" w:ascii="Calibri" w:hAnsi="Calibri"/>
          <w:sz w:val="22"/>
          <w:szCs w:val="22"/>
        </w:rPr>
        <w:t>Princíp rešpektu</w:t>
      </w:r>
    </w:p>
    <w:p>
      <w:pPr>
        <w:pStyle w:val="ListParagraph"/>
        <w:numPr>
          <w:ilvl w:val="0"/>
          <w:numId w:val="1"/>
        </w:numPr>
        <w:tabs>
          <w:tab w:val="clear" w:pos="708"/>
          <w:tab w:val="left" w:pos="709" w:leader="none"/>
        </w:tabs>
        <w:spacing w:lineRule="auto" w:line="360"/>
        <w:jc w:val="both"/>
        <w:rPr>
          <w:rFonts w:ascii="Arial" w:hAnsi="Arial" w:cs="Arial"/>
          <w:sz w:val="22"/>
        </w:rPr>
      </w:pPr>
      <w:r>
        <w:rPr>
          <w:rFonts w:cs="Arial" w:ascii="Calibri" w:hAnsi="Calibri"/>
          <w:sz w:val="22"/>
          <w:szCs w:val="22"/>
        </w:rPr>
        <w:t>Princíp rovnosti</w:t>
      </w:r>
    </w:p>
    <w:p>
      <w:pPr>
        <w:pStyle w:val="Normal"/>
        <w:spacing w:lineRule="auto" w:line="360"/>
        <w:jc w:val="both"/>
        <w:rPr>
          <w:rFonts w:ascii="Arial" w:hAnsi="Arial" w:cs="Arial"/>
          <w:sz w:val="22"/>
          <w:szCs w:val="22"/>
        </w:rPr>
      </w:pPr>
      <w:r>
        <w:rPr>
          <w:rFonts w:cs="Arial" w:ascii="Calibri" w:hAnsi="Calibri"/>
          <w:sz w:val="22"/>
          <w:szCs w:val="22"/>
        </w:rPr>
        <w:t>Tieto princípy chápeme ako orientáciu na to, čo je normálne s akceptovaním slobodnej voľby a rešpektovaním individuality človeka, ktorý je vo svojich právach rovnocenný s ktorýmkoľvek iným bez ohľadu na farbu jeho pleti, ekonomické zázemie alebo sociálne či zdravotné znevýhodnenie. V praxi to znamená, že sociálna služba by mala prijímateľovi umožniť život, prácu, vzdelanie, sociálne vzťahy či prístup verejnosti, ktorý je bežný pre iného človeka, ktorý sa neocitol v sociálnej izolácii. Tento prijímateľ má mať možnosť slobodne sa rozhodovať a dôveru v jeho schopnosť samostatne konať, čo v jeho prípade môže znamenať naplnenie práva na slobodu. Tento prijímateľ bude prijímaný verejnosťou aj poskytovateľom služby ako jedinečná osobnosť, ktorá má svoje vlastné vnímanie aj prežívanie a vyžaduje si na seba zameraný individuálny prístup. Napokon princíp rovnosti pripomína platnosť základných ľudských práv a zdôrazňuje partnerský, rovnocenný vzťah pracovníka služby s prijímateľom. (Cangár – Cangárová - Nincová, 2014).</w:t>
      </w:r>
    </w:p>
    <w:p>
      <w:pPr>
        <w:pStyle w:val="Normal"/>
        <w:spacing w:lineRule="auto" w:line="360"/>
        <w:jc w:val="both"/>
        <w:rPr>
          <w:rFonts w:ascii="Arial" w:hAnsi="Arial" w:cs="Arial"/>
          <w:sz w:val="22"/>
          <w:szCs w:val="22"/>
        </w:rPr>
      </w:pPr>
      <w:r>
        <w:rPr>
          <w:rFonts w:cs="Arial" w:ascii="Calibri" w:hAnsi="Calibri"/>
          <w:sz w:val="22"/>
          <w:szCs w:val="22"/>
        </w:rPr>
        <w:tab/>
        <w:t xml:space="preserve">Predstavené princípy považujeme  za univerzálne a tiež sa prikláňame k názoru, že každá sociálna služba s cieľom pomoci prijímateľa a jeho spokojnosti by sa mala nimi riadiť. Individuálne plánovanie v sebe nesie isté špecifiká, preto spomínané princípy dopĺňame špecifickými podmienkami. </w:t>
      </w:r>
    </w:p>
    <w:p>
      <w:pPr>
        <w:pStyle w:val="ListParagraph"/>
        <w:numPr>
          <w:ilvl w:val="0"/>
          <w:numId w:val="2"/>
        </w:numPr>
        <w:tabs>
          <w:tab w:val="clear" w:pos="708"/>
          <w:tab w:val="left" w:pos="709" w:leader="none"/>
        </w:tabs>
        <w:spacing w:lineRule="auto" w:line="360"/>
        <w:jc w:val="both"/>
        <w:rPr>
          <w:rFonts w:ascii="Arial" w:hAnsi="Arial" w:cs="Arial"/>
          <w:b/>
          <w:b/>
          <w:sz w:val="22"/>
        </w:rPr>
      </w:pPr>
      <w:r>
        <w:rPr>
          <w:rFonts w:cs="Arial" w:ascii="Calibri" w:hAnsi="Calibri"/>
          <w:b/>
          <w:sz w:val="22"/>
          <w:szCs w:val="22"/>
        </w:rPr>
        <w:t>Aktívna kooperáciu poskytovateľa s prijímateľom a jeho sociálnou sieťou</w:t>
      </w:r>
    </w:p>
    <w:p>
      <w:pPr>
        <w:pStyle w:val="Normal"/>
        <w:spacing w:lineRule="auto" w:line="360"/>
        <w:jc w:val="both"/>
        <w:rPr>
          <w:rFonts w:ascii="Arial" w:hAnsi="Arial" w:cs="Arial"/>
          <w:sz w:val="22"/>
          <w:szCs w:val="22"/>
        </w:rPr>
      </w:pPr>
      <w:r>
        <w:rPr>
          <w:rFonts w:cs="Arial" w:ascii="Calibri" w:hAnsi="Calibri"/>
          <w:sz w:val="22"/>
          <w:szCs w:val="22"/>
        </w:rPr>
        <w:t>Touto podmienkou opätovne zdôrazňujeme význam účasti prijímateľa na plánovaní sociálnej služby, ktorá sa má odvíjať od jeho individuálnych potrieb. Dôležitú úlohu zohráva aj prítomnosť sociálnej siete prijímateľa, jeho rodiny, priateľov, ktorí spolupracujú pri riešení nepriaznivej sociálnej situácie s cieľom zabezpečiť mu nezávislý život.</w:t>
      </w:r>
    </w:p>
    <w:p>
      <w:pPr>
        <w:pStyle w:val="ListParagraph"/>
        <w:numPr>
          <w:ilvl w:val="0"/>
          <w:numId w:val="2"/>
        </w:numPr>
        <w:tabs>
          <w:tab w:val="clear" w:pos="708"/>
          <w:tab w:val="left" w:pos="709" w:leader="none"/>
        </w:tabs>
        <w:spacing w:lineRule="auto" w:line="360"/>
        <w:jc w:val="both"/>
        <w:rPr>
          <w:rFonts w:ascii="Arial" w:hAnsi="Arial" w:cs="Arial"/>
          <w:b/>
          <w:b/>
          <w:sz w:val="22"/>
        </w:rPr>
      </w:pPr>
      <w:r>
        <w:rPr>
          <w:rFonts w:cs="Arial" w:ascii="Calibri" w:hAnsi="Calibri"/>
          <w:b/>
          <w:sz w:val="22"/>
          <w:szCs w:val="22"/>
        </w:rPr>
        <w:t>Objektívnosť</w:t>
      </w:r>
    </w:p>
    <w:p>
      <w:pPr>
        <w:pStyle w:val="Normal"/>
        <w:spacing w:lineRule="auto" w:line="360"/>
        <w:jc w:val="both"/>
        <w:rPr>
          <w:rFonts w:ascii="Arial" w:hAnsi="Arial" w:cs="Arial"/>
          <w:sz w:val="22"/>
          <w:szCs w:val="22"/>
        </w:rPr>
      </w:pPr>
      <w:r>
        <w:rPr>
          <w:rFonts w:cs="Arial" w:ascii="Calibri" w:hAnsi="Calibri"/>
          <w:sz w:val="22"/>
          <w:szCs w:val="22"/>
        </w:rPr>
        <w:t>Objektívnosť v procese individuálneho plánovania vidíme v nastavení cieľov plánovania, založených na nezaujatom, komplexnom zmapovaní potrieb, schopností, záujmov, toho, čo prijímateľ chce, ale aj toho, čo nechce.</w:t>
      </w:r>
    </w:p>
    <w:p>
      <w:pPr>
        <w:pStyle w:val="ListParagraph"/>
        <w:numPr>
          <w:ilvl w:val="0"/>
          <w:numId w:val="2"/>
        </w:numPr>
        <w:tabs>
          <w:tab w:val="clear" w:pos="708"/>
          <w:tab w:val="left" w:pos="709" w:leader="none"/>
        </w:tabs>
        <w:spacing w:lineRule="auto" w:line="360"/>
        <w:jc w:val="both"/>
        <w:rPr>
          <w:rFonts w:ascii="Arial" w:hAnsi="Arial" w:cs="Arial"/>
          <w:b/>
          <w:b/>
          <w:sz w:val="22"/>
        </w:rPr>
      </w:pPr>
      <w:r>
        <w:rPr>
          <w:rFonts w:cs="Arial" w:ascii="Calibri" w:hAnsi="Calibri"/>
          <w:b/>
          <w:sz w:val="22"/>
          <w:szCs w:val="22"/>
        </w:rPr>
        <w:t>Fungovanie v prostredí</w:t>
      </w:r>
    </w:p>
    <w:p>
      <w:pPr>
        <w:pStyle w:val="Normal"/>
        <w:spacing w:lineRule="auto" w:line="360"/>
        <w:jc w:val="both"/>
        <w:rPr>
          <w:rFonts w:ascii="Arial" w:hAnsi="Arial" w:cs="Arial"/>
          <w:sz w:val="22"/>
          <w:szCs w:val="22"/>
        </w:rPr>
      </w:pPr>
      <w:r>
        <w:rPr>
          <w:rFonts w:cs="Arial" w:ascii="Calibri" w:hAnsi="Calibri"/>
          <w:sz w:val="22"/>
          <w:szCs w:val="22"/>
        </w:rPr>
        <w:t>Prijímateľ sa často nachádza v  situácii, kedy mu jeho momentálny stav nedovoľuje návrat do jeho prirodzeného prostredia. Individuálne plánovanie má hľadať všetky možnosti fungovania prijímateľa v čo najprirodzenejšom prostredí. Táto podmienka nám má pripomínať, že rehabilitácia, akákoľvek podpora a následný návrat do prirodzeného prostredia bude vždy najvyšším cieľom sociálnej služby.</w:t>
      </w:r>
    </w:p>
    <w:p>
      <w:pPr>
        <w:pStyle w:val="ListParagraph"/>
        <w:numPr>
          <w:ilvl w:val="0"/>
          <w:numId w:val="2"/>
        </w:numPr>
        <w:tabs>
          <w:tab w:val="clear" w:pos="708"/>
          <w:tab w:val="left" w:pos="709" w:leader="none"/>
        </w:tabs>
        <w:spacing w:lineRule="auto" w:line="360"/>
        <w:jc w:val="both"/>
        <w:rPr>
          <w:rFonts w:ascii="Arial" w:hAnsi="Arial" w:cs="Arial"/>
          <w:sz w:val="22"/>
        </w:rPr>
      </w:pPr>
      <w:r>
        <w:rPr>
          <w:rFonts w:cs="Arial" w:ascii="Calibri" w:hAnsi="Calibri"/>
          <w:b/>
          <w:sz w:val="22"/>
          <w:szCs w:val="22"/>
        </w:rPr>
        <w:t>Komplexnos</w:t>
      </w:r>
      <w:r>
        <w:rPr>
          <w:rFonts w:cs="Arial" w:ascii="Calibri" w:hAnsi="Calibri"/>
          <w:sz w:val="22"/>
          <w:szCs w:val="22"/>
        </w:rPr>
        <w:t>ť</w:t>
      </w:r>
    </w:p>
    <w:p>
      <w:pPr>
        <w:pStyle w:val="Normal"/>
        <w:spacing w:lineRule="auto" w:line="360"/>
        <w:jc w:val="both"/>
        <w:rPr>
          <w:rFonts w:ascii="Arial" w:hAnsi="Arial" w:cs="Arial"/>
          <w:sz w:val="22"/>
          <w:szCs w:val="22"/>
        </w:rPr>
      </w:pPr>
      <w:r>
        <w:rPr>
          <w:rFonts w:cs="Arial" w:ascii="Calibri" w:hAnsi="Calibri"/>
          <w:sz w:val="22"/>
          <w:szCs w:val="22"/>
        </w:rPr>
        <w:t>Individuálny plán je nadradený nad ostatnými plánmi starostlivosti. Komplexnosť v procese individuálneho plánovania znamená venovať pozornosť všetkým stránkam osobnosti prijímateľa a spomínané rehabilitačné, pracovné či rizikové plány sú jeho súčasťou. Individuálny plán je obrazom prijímateľa v celej jeho podobe a od tohto obrazu sa odvíja jeho ďalšie smerovanie.</w:t>
      </w:r>
    </w:p>
    <w:p>
      <w:pPr>
        <w:pStyle w:val="ListParagraph"/>
        <w:numPr>
          <w:ilvl w:val="0"/>
          <w:numId w:val="2"/>
        </w:numPr>
        <w:tabs>
          <w:tab w:val="clear" w:pos="708"/>
          <w:tab w:val="left" w:pos="709" w:leader="none"/>
        </w:tabs>
        <w:spacing w:lineRule="auto" w:line="360"/>
        <w:jc w:val="both"/>
        <w:rPr>
          <w:rFonts w:ascii="Arial" w:hAnsi="Arial" w:cs="Arial"/>
          <w:b/>
          <w:b/>
          <w:sz w:val="22"/>
        </w:rPr>
      </w:pPr>
      <w:r>
        <w:rPr>
          <w:rFonts w:cs="Arial" w:ascii="Calibri" w:hAnsi="Calibri"/>
          <w:b/>
          <w:sz w:val="22"/>
          <w:szCs w:val="22"/>
        </w:rPr>
        <w:t>Koordinovanosť</w:t>
      </w:r>
    </w:p>
    <w:p>
      <w:pPr>
        <w:pStyle w:val="Normal"/>
        <w:spacing w:lineRule="auto" w:line="360"/>
        <w:jc w:val="both"/>
        <w:rPr>
          <w:rFonts w:ascii="Arial" w:hAnsi="Arial" w:cs="Arial"/>
          <w:sz w:val="22"/>
          <w:szCs w:val="22"/>
        </w:rPr>
      </w:pPr>
      <w:r>
        <w:rPr>
          <w:rFonts w:cs="Arial" w:ascii="Calibri" w:hAnsi="Calibri"/>
          <w:sz w:val="22"/>
          <w:szCs w:val="22"/>
        </w:rPr>
        <w:t>Ak má byť individuálny plán komplexný, nutne je potrebné, aby sa na jeho tvorbe, realizácii a prehodnocovaní zúčastňovali odborníci z oblastí, v ktorých prijímateľ potrebuje podporu. Účasťou spolupracujúcej sociálnej siete podporíme úspešnosť prijímateľa v jednotlivých etapách plánovania a realizácie sociálnych služieb. Skoordinovať stretnutia podporného tímu a realizáciu krokov v závislosti od naliehavosti problému, sú rovnako podmienkami úspechu plánovania.</w:t>
      </w:r>
    </w:p>
    <w:p>
      <w:pPr>
        <w:pStyle w:val="ListParagraph"/>
        <w:numPr>
          <w:ilvl w:val="0"/>
          <w:numId w:val="2"/>
        </w:numPr>
        <w:tabs>
          <w:tab w:val="clear" w:pos="708"/>
          <w:tab w:val="left" w:pos="709" w:leader="none"/>
        </w:tabs>
        <w:spacing w:lineRule="auto" w:line="360"/>
        <w:jc w:val="both"/>
        <w:rPr>
          <w:rFonts w:ascii="Arial" w:hAnsi="Arial" w:cs="Arial"/>
          <w:b/>
          <w:b/>
          <w:sz w:val="22"/>
        </w:rPr>
      </w:pPr>
      <w:r>
        <w:rPr>
          <w:rFonts w:cs="Arial" w:ascii="Calibri" w:hAnsi="Calibri"/>
          <w:b/>
          <w:sz w:val="22"/>
          <w:szCs w:val="22"/>
        </w:rPr>
        <w:t xml:space="preserve">Legálnosť </w:t>
      </w:r>
    </w:p>
    <w:p>
      <w:pPr>
        <w:pStyle w:val="Normal"/>
        <w:spacing w:lineRule="auto" w:line="360"/>
        <w:jc w:val="both"/>
        <w:rPr>
          <w:rFonts w:ascii="Arial" w:hAnsi="Arial" w:cs="Arial"/>
          <w:sz w:val="22"/>
          <w:szCs w:val="22"/>
        </w:rPr>
      </w:pPr>
      <w:r>
        <w:rPr>
          <w:rFonts w:cs="Arial" w:ascii="Calibri" w:hAnsi="Calibri"/>
          <w:sz w:val="22"/>
          <w:szCs w:val="22"/>
        </w:rPr>
        <w:t>Touto podmienkou máme na mysli transparentnosť procesu formou vedenia dokumentácie. Individuálny plán  zhrňuje obraz prijímateľa, stanovené ciele, konkrétne pomenované jednotlivé etapy, zodpovedné osoby i časový plán realizácie a hodnotenia. (Cangár ed., 2015)</w:t>
      </w:r>
    </w:p>
    <w:p>
      <w:pPr>
        <w:pStyle w:val="Normal"/>
        <w:spacing w:lineRule="auto" w:line="360"/>
        <w:jc w:val="both"/>
        <w:rPr>
          <w:rFonts w:ascii="Arial" w:hAnsi="Arial" w:cs="Arial"/>
          <w:sz w:val="22"/>
          <w:szCs w:val="22"/>
        </w:rPr>
      </w:pPr>
      <w:r>
        <w:rPr>
          <w:rFonts w:cs="Arial" w:ascii="Calibri" w:hAnsi="Calibri"/>
          <w:sz w:val="22"/>
          <w:szCs w:val="22"/>
        </w:rPr>
        <w:tab/>
        <w:t xml:space="preserve">Princípy a podmienky individuálneho plánovania, ktoré sme predstavili, dopĺňa aj Zákon o sociálnych službách v prílohe č. 2, kde popisuje zásady procesu individuálneho plánovania. Venuje sa identifikácii potrieb, stanoveniu cieľov, metódam a plánu práce ako aj hodnoteniu plánovania. </w:t>
      </w:r>
    </w:p>
    <w:p>
      <w:pPr>
        <w:pStyle w:val="Normal"/>
        <w:widowControl w:val="false"/>
        <w:spacing w:lineRule="auto" w:line="360"/>
        <w:jc w:val="both"/>
        <w:rPr>
          <w:rFonts w:ascii="Arial" w:hAnsi="Arial" w:cs="Arial"/>
          <w:sz w:val="22"/>
          <w:szCs w:val="22"/>
        </w:rPr>
      </w:pPr>
      <w:r>
        <w:rPr>
          <w:rFonts w:cs="Arial" w:ascii="Calibri" w:hAnsi="Calibri"/>
          <w:sz w:val="22"/>
          <w:szCs w:val="22"/>
        </w:rPr>
        <w:t>Prijímatelia sociálnych služieb sú aktívne zapájaní do tvorby a realizácie svojich Individuálnych plánov prostredníctvom individuálnych stretnutí, pričom pracujú spoločne  na cieľoch IP so svojimi kľúčovými zamestnancami, odbornými zamestnancami DSS a ďalšími členmi podporných skupín.</w:t>
      </w:r>
    </w:p>
    <w:p>
      <w:pPr>
        <w:pStyle w:val="Normal"/>
        <w:widowControl w:val="false"/>
        <w:spacing w:lineRule="auto" w:line="360"/>
        <w:jc w:val="both"/>
        <w:rPr>
          <w:rFonts w:ascii="Arial" w:hAnsi="Arial" w:cs="Arial"/>
          <w:b/>
          <w:b/>
          <w:bCs/>
          <w:sz w:val="22"/>
          <w:szCs w:val="22"/>
        </w:rPr>
      </w:pPr>
      <w:r>
        <w:rPr>
          <w:rFonts w:cs="Arial" w:ascii="Calibri" w:hAnsi="Calibri"/>
          <w:b/>
          <w:bCs/>
          <w:sz w:val="22"/>
          <w:szCs w:val="22"/>
        </w:rPr>
        <w:t>Proces koordinácie a realizácie individuálneho plánovania v zariadení</w:t>
      </w:r>
    </w:p>
    <w:p>
      <w:pPr>
        <w:pStyle w:val="Normal"/>
        <w:widowControl w:val="false"/>
        <w:spacing w:lineRule="auto" w:line="360"/>
        <w:jc w:val="both"/>
        <w:rPr>
          <w:rFonts w:ascii="Arial" w:hAnsi="Arial" w:cs="Arial"/>
          <w:sz w:val="22"/>
          <w:szCs w:val="22"/>
        </w:rPr>
      </w:pPr>
      <w:r>
        <w:rPr>
          <w:rFonts w:cs="Arial" w:ascii="Calibri" w:hAnsi="Calibri"/>
          <w:sz w:val="22"/>
          <w:szCs w:val="22"/>
        </w:rPr>
        <w:t xml:space="preserve">Proces koordinácie a realizácie individuálneho plánovania je personálne zabezpečený koordinátormi, kľúčovým  pracovníkom a realizátorom (pracovníčka v práčovni, kuchárka, upratovačka, inštruktor sociálnej rehabilitácie, údržbár, zdravotný personál). </w:t>
      </w:r>
    </w:p>
    <w:p>
      <w:pPr>
        <w:pStyle w:val="Normal"/>
        <w:widowControl w:val="false"/>
        <w:spacing w:lineRule="auto" w:line="360"/>
        <w:jc w:val="both"/>
        <w:rPr>
          <w:rFonts w:ascii="Arial" w:hAnsi="Arial" w:cs="Arial"/>
          <w:b/>
          <w:b/>
          <w:bCs/>
          <w:sz w:val="22"/>
          <w:szCs w:val="22"/>
        </w:rPr>
      </w:pPr>
      <w:r>
        <w:rPr>
          <w:rFonts w:cs="Arial" w:ascii="Calibri" w:hAnsi="Calibri"/>
          <w:b/>
          <w:bCs/>
          <w:sz w:val="22"/>
          <w:szCs w:val="22"/>
        </w:rPr>
        <w:t>Kompetencie pre IP (vedomosti, zručnosti, postoje)</w:t>
      </w:r>
    </w:p>
    <w:p>
      <w:pPr>
        <w:pStyle w:val="Normal"/>
        <w:widowControl w:val="false"/>
        <w:jc w:val="both"/>
        <w:rPr>
          <w:rFonts w:ascii="Calibri" w:hAnsi="Calibri" w:cs="Arial"/>
          <w:b/>
          <w:b/>
          <w:bCs/>
          <w:sz w:val="22"/>
          <w:szCs w:val="22"/>
        </w:rPr>
      </w:pPr>
      <w:r>
        <w:rPr>
          <w:rFonts w:cs="Arial" w:ascii="Calibri" w:hAnsi="Calibri"/>
          <w:b/>
          <w:bCs/>
          <w:sz w:val="22"/>
          <w:szCs w:val="22"/>
        </w:rPr>
      </w:r>
    </w:p>
    <w:tbl>
      <w:tblPr>
        <w:tblW w:w="9503" w:type="dxa"/>
        <w:jc w:val="left"/>
        <w:tblInd w:w="103" w:type="dxa"/>
        <w:tblCellMar>
          <w:top w:w="0" w:type="dxa"/>
          <w:left w:w="108" w:type="dxa"/>
          <w:bottom w:w="0" w:type="dxa"/>
          <w:right w:w="108" w:type="dxa"/>
        </w:tblCellMar>
        <w:tblLook w:val="04a0"/>
      </w:tblPr>
      <w:tblGrid>
        <w:gridCol w:w="1626"/>
        <w:gridCol w:w="2462"/>
        <w:gridCol w:w="2514"/>
        <w:gridCol w:w="2900"/>
      </w:tblGrid>
      <w:tr>
        <w:trPr>
          <w:trHeight w:val="471" w:hRule="atLeast"/>
        </w:trPr>
        <w:tc>
          <w:tcPr>
            <w:tcW w:w="1626" w:type="dxa"/>
            <w:tcBorders>
              <w:top w:val="single" w:sz="2" w:space="0" w:color="000000"/>
              <w:left w:val="single" w:sz="2" w:space="0" w:color="000000"/>
              <w:bottom w:val="single" w:sz="2" w:space="0" w:color="000000"/>
              <w:right w:val="single" w:sz="2" w:space="0" w:color="000000"/>
            </w:tcBorders>
            <w:shd w:color="auto" w:fill="B6DDE8" w:val="clear"/>
          </w:tcPr>
          <w:p>
            <w:pPr>
              <w:pStyle w:val="Normal"/>
              <w:widowControl w:val="false"/>
              <w:spacing w:before="0" w:after="200"/>
              <w:jc w:val="both"/>
              <w:rPr>
                <w:rFonts w:ascii="Calibri" w:hAnsi="Calibri" w:cs="Arial"/>
                <w:sz w:val="22"/>
                <w:szCs w:val="22"/>
              </w:rPr>
            </w:pPr>
            <w:r>
              <w:rPr>
                <w:rFonts w:cs="Arial" w:ascii="Calibri" w:hAnsi="Calibri"/>
                <w:sz w:val="22"/>
                <w:szCs w:val="22"/>
              </w:rPr>
            </w:r>
          </w:p>
        </w:tc>
        <w:tc>
          <w:tcPr>
            <w:tcW w:w="2462" w:type="dxa"/>
            <w:tcBorders>
              <w:top w:val="single" w:sz="2" w:space="0" w:color="000000"/>
              <w:left w:val="single" w:sz="2" w:space="0" w:color="000000"/>
              <w:bottom w:val="single" w:sz="2" w:space="0" w:color="000000"/>
              <w:right w:val="single" w:sz="2" w:space="0" w:color="000000"/>
            </w:tcBorders>
            <w:shd w:color="auto" w:fill="B6DDE8" w:val="clear"/>
          </w:tcPr>
          <w:p>
            <w:pPr>
              <w:pStyle w:val="Normal"/>
              <w:widowControl w:val="false"/>
              <w:jc w:val="both"/>
              <w:rPr>
                <w:rFonts w:ascii="Arial" w:hAnsi="Arial" w:cs="Arial"/>
                <w:b/>
                <w:b/>
                <w:bCs/>
              </w:rPr>
            </w:pPr>
            <w:r>
              <w:rPr>
                <w:rFonts w:cs="Arial" w:ascii="Calibri" w:hAnsi="Calibri"/>
                <w:b/>
                <w:bCs/>
                <w:sz w:val="22"/>
                <w:szCs w:val="22"/>
              </w:rPr>
              <w:t>Koordinátor IP</w:t>
            </w:r>
          </w:p>
          <w:p>
            <w:pPr>
              <w:pStyle w:val="Normal"/>
              <w:widowControl w:val="false"/>
              <w:spacing w:before="0" w:after="200"/>
              <w:rPr>
                <w:rFonts w:ascii="Arial" w:hAnsi="Arial" w:cs="Arial"/>
              </w:rPr>
            </w:pPr>
            <w:r>
              <w:rPr>
                <w:rFonts w:cs="Arial" w:ascii="Calibri" w:hAnsi="Calibri"/>
                <w:bCs/>
                <w:sz w:val="22"/>
                <w:szCs w:val="22"/>
              </w:rPr>
              <w:t>(sociálna pracovníčka, asistent sociálnej práce)</w:t>
            </w:r>
          </w:p>
        </w:tc>
        <w:tc>
          <w:tcPr>
            <w:tcW w:w="2514" w:type="dxa"/>
            <w:tcBorders>
              <w:top w:val="single" w:sz="2" w:space="0" w:color="000000"/>
              <w:left w:val="single" w:sz="2" w:space="0" w:color="000000"/>
              <w:bottom w:val="single" w:sz="2" w:space="0" w:color="000000"/>
              <w:right w:val="single" w:sz="2" w:space="0" w:color="000000"/>
            </w:tcBorders>
            <w:shd w:color="auto" w:fill="B6DDE8" w:val="clear"/>
          </w:tcPr>
          <w:p>
            <w:pPr>
              <w:pStyle w:val="Normal"/>
              <w:widowControl w:val="false"/>
              <w:spacing w:before="0" w:after="200"/>
              <w:jc w:val="both"/>
              <w:rPr>
                <w:rFonts w:ascii="Arial" w:hAnsi="Arial" w:cs="Arial"/>
              </w:rPr>
            </w:pPr>
            <w:r>
              <w:rPr>
                <w:rFonts w:cs="Arial" w:ascii="Calibri" w:hAnsi="Calibri"/>
                <w:b/>
                <w:bCs/>
                <w:sz w:val="22"/>
                <w:szCs w:val="22"/>
              </w:rPr>
              <w:t>Kľúčový pracovník IP</w:t>
            </w:r>
          </w:p>
        </w:tc>
        <w:tc>
          <w:tcPr>
            <w:tcW w:w="2900" w:type="dxa"/>
            <w:tcBorders>
              <w:top w:val="single" w:sz="2" w:space="0" w:color="000000"/>
              <w:left w:val="single" w:sz="2" w:space="0" w:color="000000"/>
              <w:bottom w:val="single" w:sz="2" w:space="0" w:color="000000"/>
              <w:right w:val="single" w:sz="2" w:space="0" w:color="000000"/>
            </w:tcBorders>
            <w:shd w:color="auto" w:fill="B6DDE8" w:val="clear"/>
          </w:tcPr>
          <w:p>
            <w:pPr>
              <w:pStyle w:val="Normal"/>
              <w:widowControl w:val="false"/>
              <w:jc w:val="both"/>
              <w:rPr>
                <w:rFonts w:ascii="Arial" w:hAnsi="Arial" w:cs="Arial"/>
                <w:b/>
                <w:b/>
                <w:bCs/>
              </w:rPr>
            </w:pPr>
            <w:r>
              <w:rPr>
                <w:rFonts w:cs="Arial" w:ascii="Calibri" w:hAnsi="Calibri"/>
                <w:b/>
                <w:bCs/>
                <w:sz w:val="22"/>
                <w:szCs w:val="22"/>
              </w:rPr>
              <w:t>Realizátor IP</w:t>
            </w:r>
          </w:p>
          <w:p>
            <w:pPr>
              <w:pStyle w:val="Normal"/>
              <w:widowControl w:val="false"/>
              <w:rPr>
                <w:rFonts w:ascii="Arial" w:hAnsi="Arial" w:cs="Arial"/>
              </w:rPr>
            </w:pPr>
            <w:r>
              <w:rPr>
                <w:rFonts w:cs="Arial" w:ascii="Calibri" w:hAnsi="Calibri"/>
                <w:b/>
                <w:bCs/>
                <w:sz w:val="22"/>
                <w:szCs w:val="22"/>
              </w:rPr>
              <w:t>(</w:t>
            </w:r>
            <w:r>
              <w:rPr>
                <w:rFonts w:cs="Arial" w:ascii="Calibri" w:hAnsi="Calibri"/>
                <w:sz w:val="22"/>
                <w:szCs w:val="22"/>
              </w:rPr>
              <w:t xml:space="preserve">pracovníčka v práčovni, kuchárka, upratovačka, inštruktor sociálnej rehabilitácie, údržbár, zdravotný personál). </w:t>
            </w:r>
          </w:p>
          <w:p>
            <w:pPr>
              <w:pStyle w:val="Normal"/>
              <w:widowControl w:val="false"/>
              <w:spacing w:before="0" w:after="200"/>
              <w:jc w:val="both"/>
              <w:rPr>
                <w:rFonts w:ascii="Calibri" w:hAnsi="Calibri" w:cs="Arial"/>
                <w:sz w:val="22"/>
                <w:szCs w:val="22"/>
              </w:rPr>
            </w:pPr>
            <w:r>
              <w:rPr>
                <w:rFonts w:cs="Arial" w:ascii="Calibri" w:hAnsi="Calibri"/>
                <w:sz w:val="22"/>
                <w:szCs w:val="22"/>
              </w:rPr>
            </w:r>
          </w:p>
        </w:tc>
      </w:tr>
      <w:tr>
        <w:trPr>
          <w:trHeight w:val="1750" w:hRule="atLeast"/>
        </w:trPr>
        <w:tc>
          <w:tcPr>
            <w:tcW w:w="1626" w:type="dxa"/>
            <w:tcBorders>
              <w:top w:val="single" w:sz="2" w:space="0" w:color="000000"/>
              <w:left w:val="single" w:sz="2" w:space="0" w:color="000000"/>
              <w:bottom w:val="single" w:sz="2" w:space="0" w:color="000000"/>
              <w:right w:val="single" w:sz="2" w:space="0" w:color="000000"/>
            </w:tcBorders>
            <w:shd w:color="auto" w:fill="B6DDE8" w:val="clear"/>
          </w:tcPr>
          <w:p>
            <w:pPr>
              <w:pStyle w:val="Normal"/>
              <w:widowControl w:val="false"/>
              <w:spacing w:before="0" w:after="200"/>
              <w:jc w:val="both"/>
              <w:rPr>
                <w:rFonts w:ascii="Arial" w:hAnsi="Arial" w:cs="Arial"/>
              </w:rPr>
            </w:pPr>
            <w:r>
              <w:rPr>
                <w:rFonts w:cs="Arial" w:ascii="Calibri" w:hAnsi="Calibri"/>
                <w:b/>
                <w:bCs/>
                <w:sz w:val="22"/>
                <w:szCs w:val="22"/>
              </w:rPr>
              <w:t>Vedomosti</w:t>
            </w:r>
          </w:p>
        </w:tc>
        <w:tc>
          <w:tcPr>
            <w:tcW w:w="2462"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rPr>
                <w:rFonts w:ascii="Arial" w:hAnsi="Arial" w:cs="Arial"/>
              </w:rPr>
            </w:pPr>
            <w:r>
              <w:rPr>
                <w:rFonts w:cs="Arial" w:ascii="Calibri" w:hAnsi="Calibri"/>
                <w:sz w:val="22"/>
                <w:szCs w:val="22"/>
              </w:rPr>
              <w:t>Pozná nástroje, princípy a procesy PCP a IP</w:t>
            </w:r>
          </w:p>
          <w:p>
            <w:pPr>
              <w:pStyle w:val="Normal"/>
              <w:widowControl w:val="false"/>
              <w:spacing w:before="0" w:after="200"/>
              <w:rPr>
                <w:rFonts w:ascii="Arial" w:hAnsi="Arial" w:cs="Arial"/>
              </w:rPr>
            </w:pPr>
            <w:r>
              <w:rPr>
                <w:rFonts w:cs="Arial" w:ascii="Calibri" w:hAnsi="Calibri"/>
                <w:sz w:val="22"/>
                <w:szCs w:val="22"/>
              </w:rPr>
              <w:t>Špecifické vedomosti (AAK, preterapia, podporované zamestnávanie ...)</w:t>
            </w:r>
          </w:p>
        </w:tc>
        <w:tc>
          <w:tcPr>
            <w:tcW w:w="2514"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rPr>
                <w:rFonts w:ascii="Arial" w:hAnsi="Arial" w:cs="Arial"/>
              </w:rPr>
            </w:pPr>
            <w:r>
              <w:rPr>
                <w:rFonts w:cs="Arial" w:ascii="Calibri" w:hAnsi="Calibri"/>
                <w:sz w:val="22"/>
                <w:szCs w:val="22"/>
              </w:rPr>
              <w:t>Pozná nástroje, princípy a procesy PCP a IP</w:t>
            </w:r>
          </w:p>
          <w:p>
            <w:pPr>
              <w:pStyle w:val="Normal"/>
              <w:widowControl w:val="false"/>
              <w:spacing w:before="0" w:after="200"/>
              <w:rPr>
                <w:rFonts w:ascii="Arial" w:hAnsi="Arial" w:cs="Arial"/>
              </w:rPr>
            </w:pPr>
            <w:r>
              <w:rPr>
                <w:rFonts w:cs="Arial" w:ascii="Calibri" w:hAnsi="Calibri"/>
                <w:sz w:val="22"/>
                <w:szCs w:val="22"/>
              </w:rPr>
              <w:t>Špecifické vedomosti (AAK, preterapia, podporované zamestnávanie ...)</w:t>
            </w:r>
          </w:p>
        </w:tc>
        <w:tc>
          <w:tcPr>
            <w:tcW w:w="2900"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spacing w:before="0" w:after="200"/>
              <w:rPr>
                <w:rFonts w:ascii="Arial" w:hAnsi="Arial" w:cs="Arial"/>
              </w:rPr>
            </w:pPr>
            <w:r>
              <w:rPr>
                <w:rFonts w:cs="Arial" w:ascii="Calibri" w:hAnsi="Calibri"/>
                <w:sz w:val="22"/>
                <w:szCs w:val="22"/>
              </w:rPr>
              <w:t>Nič špeciálne nie je potrebné</w:t>
            </w:r>
          </w:p>
        </w:tc>
      </w:tr>
      <w:tr>
        <w:trPr>
          <w:trHeight w:val="1266" w:hRule="atLeast"/>
        </w:trPr>
        <w:tc>
          <w:tcPr>
            <w:tcW w:w="1626" w:type="dxa"/>
            <w:tcBorders>
              <w:top w:val="single" w:sz="2" w:space="0" w:color="000000"/>
              <w:left w:val="single" w:sz="2" w:space="0" w:color="000000"/>
              <w:bottom w:val="single" w:sz="2" w:space="0" w:color="000000"/>
              <w:right w:val="single" w:sz="2" w:space="0" w:color="000000"/>
            </w:tcBorders>
            <w:shd w:color="auto" w:fill="B6DDE8" w:val="clear"/>
          </w:tcPr>
          <w:p>
            <w:pPr>
              <w:pStyle w:val="Normal"/>
              <w:widowControl w:val="false"/>
              <w:spacing w:before="0" w:after="200"/>
              <w:jc w:val="both"/>
              <w:rPr>
                <w:rFonts w:ascii="Arial" w:hAnsi="Arial" w:cs="Arial"/>
              </w:rPr>
            </w:pPr>
            <w:r>
              <w:rPr>
                <w:rFonts w:cs="Arial" w:ascii="Calibri" w:hAnsi="Calibri"/>
                <w:b/>
                <w:bCs/>
                <w:sz w:val="22"/>
                <w:szCs w:val="22"/>
              </w:rPr>
              <w:t>Zručnosti</w:t>
            </w:r>
          </w:p>
        </w:tc>
        <w:tc>
          <w:tcPr>
            <w:tcW w:w="2462"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jc w:val="both"/>
              <w:rPr>
                <w:rFonts w:ascii="Arial" w:hAnsi="Arial" w:cs="Arial"/>
              </w:rPr>
            </w:pPr>
            <w:r>
              <w:rPr>
                <w:rFonts w:cs="Arial" w:ascii="Calibri" w:hAnsi="Calibri"/>
                <w:sz w:val="22"/>
                <w:szCs w:val="22"/>
              </w:rPr>
              <w:t>Viesť a zapojiť ľudí, tímový hráč</w:t>
            </w:r>
          </w:p>
          <w:p>
            <w:pPr>
              <w:pStyle w:val="Normal"/>
              <w:widowControl w:val="false"/>
              <w:jc w:val="both"/>
              <w:rPr>
                <w:rFonts w:ascii="Arial" w:hAnsi="Arial" w:cs="Arial"/>
              </w:rPr>
            </w:pPr>
            <w:r>
              <w:rPr>
                <w:rFonts w:cs="Arial" w:ascii="Calibri" w:hAnsi="Calibri"/>
                <w:sz w:val="22"/>
                <w:szCs w:val="22"/>
              </w:rPr>
              <w:t>Vedieť počúvať</w:t>
            </w:r>
          </w:p>
          <w:p>
            <w:pPr>
              <w:pStyle w:val="Normal"/>
              <w:widowControl w:val="false"/>
              <w:jc w:val="both"/>
              <w:rPr>
                <w:rFonts w:ascii="Arial" w:hAnsi="Arial" w:cs="Arial"/>
              </w:rPr>
            </w:pPr>
            <w:r>
              <w:rPr>
                <w:rFonts w:cs="Arial" w:ascii="Calibri" w:hAnsi="Calibri"/>
                <w:sz w:val="22"/>
                <w:szCs w:val="22"/>
              </w:rPr>
              <w:t>Komunikačné zručnosti</w:t>
            </w:r>
          </w:p>
          <w:p>
            <w:pPr>
              <w:pStyle w:val="Normal"/>
              <w:widowControl w:val="false"/>
              <w:jc w:val="both"/>
              <w:rPr>
                <w:rFonts w:ascii="Arial" w:hAnsi="Arial" w:cs="Arial"/>
              </w:rPr>
            </w:pPr>
            <w:r>
              <w:rPr>
                <w:rFonts w:cs="Arial" w:ascii="Calibri" w:hAnsi="Calibri"/>
                <w:sz w:val="22"/>
                <w:szCs w:val="22"/>
              </w:rPr>
              <w:t>Schopnosť konštruktívnej reflexie</w:t>
            </w:r>
          </w:p>
          <w:p>
            <w:pPr>
              <w:pStyle w:val="Normal"/>
              <w:widowControl w:val="false"/>
              <w:rPr>
                <w:rFonts w:ascii="Arial" w:hAnsi="Arial" w:cs="Arial"/>
              </w:rPr>
            </w:pPr>
            <w:r>
              <w:rPr>
                <w:rFonts w:cs="Arial" w:ascii="Calibri" w:hAnsi="Calibri"/>
                <w:sz w:val="22"/>
                <w:szCs w:val="22"/>
              </w:rPr>
              <w:t>Zručnosti v používaní PCP a ďalších nástrojov IP</w:t>
            </w:r>
          </w:p>
          <w:p>
            <w:pPr>
              <w:pStyle w:val="Normal"/>
              <w:widowControl w:val="false"/>
              <w:spacing w:before="0" w:after="200"/>
              <w:rPr>
                <w:rFonts w:ascii="Arial" w:hAnsi="Arial" w:cs="Arial"/>
              </w:rPr>
            </w:pPr>
            <w:r>
              <w:rPr>
                <w:rFonts w:cs="Arial" w:ascii="Calibri" w:hAnsi="Calibri"/>
                <w:sz w:val="22"/>
                <w:szCs w:val="22"/>
              </w:rPr>
              <w:t>Facilitácia stretnutí na podporu IP (so zamestnancami klientmi, rodinou, ďalšími osobami )</w:t>
            </w:r>
          </w:p>
        </w:tc>
        <w:tc>
          <w:tcPr>
            <w:tcW w:w="2514"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rPr>
                <w:rFonts w:ascii="Arial" w:hAnsi="Arial" w:cs="Arial"/>
              </w:rPr>
            </w:pPr>
            <w:r>
              <w:rPr>
                <w:rFonts w:cs="Arial" w:ascii="Calibri" w:hAnsi="Calibri"/>
                <w:sz w:val="22"/>
                <w:szCs w:val="22"/>
              </w:rPr>
              <w:t>Komunikačné zručnosti</w:t>
            </w:r>
          </w:p>
          <w:p>
            <w:pPr>
              <w:pStyle w:val="Normal"/>
              <w:widowControl w:val="false"/>
              <w:rPr>
                <w:rFonts w:ascii="Arial" w:hAnsi="Arial" w:cs="Arial"/>
              </w:rPr>
            </w:pPr>
            <w:r>
              <w:rPr>
                <w:rFonts w:cs="Arial" w:ascii="Calibri" w:hAnsi="Calibri"/>
                <w:sz w:val="22"/>
                <w:szCs w:val="22"/>
              </w:rPr>
              <w:t>Zručnosti v používaní PCP a ďalších nástrojov IP</w:t>
            </w:r>
          </w:p>
          <w:p>
            <w:pPr>
              <w:pStyle w:val="Normal"/>
              <w:widowControl w:val="false"/>
              <w:rPr>
                <w:rFonts w:ascii="Arial" w:hAnsi="Arial" w:cs="Arial"/>
              </w:rPr>
            </w:pPr>
            <w:r>
              <w:rPr>
                <w:rFonts w:cs="Arial" w:ascii="Calibri" w:hAnsi="Calibri"/>
                <w:sz w:val="22"/>
                <w:szCs w:val="22"/>
              </w:rPr>
              <w:t>Zručnosť pracovať v tíme</w:t>
            </w:r>
          </w:p>
          <w:p>
            <w:pPr>
              <w:pStyle w:val="Normal"/>
              <w:widowControl w:val="false"/>
              <w:spacing w:before="0" w:after="200"/>
              <w:rPr>
                <w:rFonts w:ascii="Arial" w:hAnsi="Arial" w:cs="Arial"/>
              </w:rPr>
            </w:pPr>
            <w:r>
              <w:rPr>
                <w:rFonts w:cs="Arial" w:ascii="Calibri" w:hAnsi="Calibri"/>
                <w:sz w:val="22"/>
                <w:szCs w:val="22"/>
              </w:rPr>
              <w:t>Empatia</w:t>
            </w:r>
          </w:p>
        </w:tc>
        <w:tc>
          <w:tcPr>
            <w:tcW w:w="2900"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jc w:val="both"/>
              <w:rPr>
                <w:rFonts w:ascii="Arial" w:hAnsi="Arial" w:cs="Arial"/>
              </w:rPr>
            </w:pPr>
            <w:r>
              <w:rPr>
                <w:rFonts w:cs="Arial" w:ascii="Calibri" w:hAnsi="Calibri"/>
                <w:sz w:val="22"/>
                <w:szCs w:val="22"/>
              </w:rPr>
              <w:t>Komunikačné zručnosti</w:t>
            </w:r>
          </w:p>
          <w:p>
            <w:pPr>
              <w:pStyle w:val="Normal"/>
              <w:widowControl w:val="false"/>
              <w:rPr>
                <w:rFonts w:ascii="Arial" w:hAnsi="Arial" w:cs="Arial"/>
              </w:rPr>
            </w:pPr>
            <w:r>
              <w:rPr>
                <w:rFonts w:cs="Arial" w:ascii="Calibri" w:hAnsi="Calibri"/>
                <w:sz w:val="22"/>
                <w:szCs w:val="22"/>
              </w:rPr>
              <w:t>Zručnosť pracovať v tíme</w:t>
            </w:r>
          </w:p>
          <w:p>
            <w:pPr>
              <w:pStyle w:val="Normal"/>
              <w:widowControl w:val="false"/>
              <w:spacing w:before="0" w:after="200"/>
              <w:rPr>
                <w:rFonts w:ascii="Arial" w:hAnsi="Arial" w:cs="Arial"/>
              </w:rPr>
            </w:pPr>
            <w:r>
              <w:rPr>
                <w:rFonts w:cs="Arial" w:ascii="Calibri" w:hAnsi="Calibri"/>
                <w:sz w:val="22"/>
                <w:szCs w:val="22"/>
              </w:rPr>
              <w:t>Úprimnosť ako výsledok odstránenia strachu z omylov, zlyhaní, empatia a pod.</w:t>
            </w:r>
          </w:p>
        </w:tc>
      </w:tr>
      <w:tr>
        <w:trPr>
          <w:trHeight w:val="2847" w:hRule="atLeast"/>
        </w:trPr>
        <w:tc>
          <w:tcPr>
            <w:tcW w:w="1626" w:type="dxa"/>
            <w:tcBorders>
              <w:top w:val="single" w:sz="2" w:space="0" w:color="000000"/>
              <w:left w:val="single" w:sz="2" w:space="0" w:color="000000"/>
              <w:bottom w:val="single" w:sz="2" w:space="0" w:color="000000"/>
              <w:right w:val="single" w:sz="2" w:space="0" w:color="000000"/>
            </w:tcBorders>
            <w:shd w:color="auto" w:fill="B6DDE8" w:val="clear"/>
          </w:tcPr>
          <w:p>
            <w:pPr>
              <w:pStyle w:val="Normal"/>
              <w:widowControl w:val="false"/>
              <w:spacing w:before="0" w:after="200"/>
              <w:jc w:val="both"/>
              <w:rPr>
                <w:rFonts w:ascii="Arial" w:hAnsi="Arial" w:cs="Arial"/>
              </w:rPr>
            </w:pPr>
            <w:r>
              <w:rPr>
                <w:rFonts w:cs="Arial" w:ascii="Calibri" w:hAnsi="Calibri"/>
                <w:b/>
                <w:bCs/>
                <w:sz w:val="22"/>
                <w:szCs w:val="22"/>
              </w:rPr>
              <w:t>Postoje</w:t>
            </w:r>
          </w:p>
        </w:tc>
        <w:tc>
          <w:tcPr>
            <w:tcW w:w="2462"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rPr>
                <w:rFonts w:ascii="Arial" w:hAnsi="Arial" w:cs="Arial"/>
              </w:rPr>
            </w:pPr>
            <w:r>
              <w:rPr>
                <w:rFonts w:cs="Arial" w:ascii="Calibri" w:hAnsi="Calibri"/>
                <w:sz w:val="22"/>
                <w:szCs w:val="22"/>
              </w:rPr>
              <w:t>Partnerský prístup</w:t>
            </w:r>
          </w:p>
          <w:p>
            <w:pPr>
              <w:pStyle w:val="Normal"/>
              <w:widowControl w:val="false"/>
              <w:rPr>
                <w:rFonts w:ascii="Arial" w:hAnsi="Arial" w:cs="Arial"/>
              </w:rPr>
            </w:pPr>
            <w:r>
              <w:rPr>
                <w:rFonts w:cs="Arial" w:ascii="Calibri" w:hAnsi="Calibri"/>
                <w:sz w:val="22"/>
                <w:szCs w:val="22"/>
              </w:rPr>
              <w:t>Rešpektovanie iných a svojej práce</w:t>
            </w:r>
          </w:p>
          <w:p>
            <w:pPr>
              <w:pStyle w:val="Normal"/>
              <w:widowControl w:val="false"/>
              <w:rPr>
                <w:rFonts w:ascii="Arial" w:hAnsi="Arial" w:cs="Arial"/>
              </w:rPr>
            </w:pPr>
            <w:r>
              <w:rPr>
                <w:rFonts w:cs="Arial" w:ascii="Calibri" w:hAnsi="Calibri"/>
                <w:sz w:val="22"/>
                <w:szCs w:val="22"/>
              </w:rPr>
              <w:t>Podporovanie participácie</w:t>
            </w:r>
          </w:p>
          <w:p>
            <w:pPr>
              <w:pStyle w:val="Normal"/>
              <w:widowControl w:val="false"/>
              <w:rPr>
                <w:rFonts w:ascii="Arial" w:hAnsi="Arial" w:cs="Arial"/>
              </w:rPr>
            </w:pPr>
            <w:r>
              <w:rPr>
                <w:rFonts w:cs="Arial" w:ascii="Calibri" w:hAnsi="Calibri"/>
                <w:sz w:val="22"/>
                <w:szCs w:val="22"/>
              </w:rPr>
              <w:t>Presvedčený PCP</w:t>
            </w:r>
          </w:p>
          <w:p>
            <w:pPr>
              <w:pStyle w:val="Normal"/>
              <w:widowControl w:val="false"/>
              <w:rPr>
                <w:rFonts w:ascii="Arial" w:hAnsi="Arial" w:cs="Arial"/>
              </w:rPr>
            </w:pPr>
            <w:r>
              <w:rPr>
                <w:rFonts w:cs="Arial" w:ascii="Calibri" w:hAnsi="Calibri"/>
                <w:sz w:val="22"/>
                <w:szCs w:val="22"/>
              </w:rPr>
              <w:t>Otvorenosť voči komunite a poskytovaniu služieb v komunite</w:t>
            </w:r>
          </w:p>
          <w:p>
            <w:pPr>
              <w:pStyle w:val="Normal"/>
              <w:widowControl w:val="false"/>
              <w:spacing w:before="0" w:after="200"/>
              <w:rPr>
                <w:rFonts w:ascii="Arial" w:hAnsi="Arial" w:cs="Arial"/>
              </w:rPr>
            </w:pPr>
            <w:r>
              <w:rPr>
                <w:rFonts w:cs="Arial" w:ascii="Calibri" w:hAnsi="Calibri"/>
                <w:sz w:val="22"/>
                <w:szCs w:val="22"/>
              </w:rPr>
              <w:t>Inovátor, otvorenosť voči zmenám</w:t>
            </w:r>
          </w:p>
        </w:tc>
        <w:tc>
          <w:tcPr>
            <w:tcW w:w="2514"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rPr>
                <w:rFonts w:ascii="Arial" w:hAnsi="Arial" w:cs="Arial"/>
              </w:rPr>
            </w:pPr>
            <w:r>
              <w:rPr>
                <w:rFonts w:cs="Arial" w:ascii="Calibri" w:hAnsi="Calibri"/>
                <w:sz w:val="22"/>
                <w:szCs w:val="22"/>
              </w:rPr>
              <w:t>Partnerský prístup</w:t>
            </w:r>
          </w:p>
          <w:p>
            <w:pPr>
              <w:pStyle w:val="Normal"/>
              <w:widowControl w:val="false"/>
              <w:rPr>
                <w:rFonts w:ascii="Arial" w:hAnsi="Arial" w:cs="Arial"/>
              </w:rPr>
            </w:pPr>
            <w:r>
              <w:rPr>
                <w:rFonts w:cs="Arial" w:ascii="Calibri" w:hAnsi="Calibri"/>
                <w:sz w:val="22"/>
                <w:szCs w:val="22"/>
              </w:rPr>
              <w:t>Rešpektovanie iných a svojej práce</w:t>
            </w:r>
          </w:p>
          <w:p>
            <w:pPr>
              <w:pStyle w:val="Normal"/>
              <w:widowControl w:val="false"/>
              <w:rPr>
                <w:rFonts w:ascii="Arial" w:hAnsi="Arial" w:cs="Arial"/>
              </w:rPr>
            </w:pPr>
            <w:r>
              <w:rPr>
                <w:rFonts w:cs="Arial" w:ascii="Calibri" w:hAnsi="Calibri"/>
                <w:sz w:val="22"/>
                <w:szCs w:val="22"/>
              </w:rPr>
              <w:t>Podporovanie participácie</w:t>
            </w:r>
          </w:p>
          <w:p>
            <w:pPr>
              <w:pStyle w:val="Normal"/>
              <w:widowControl w:val="false"/>
              <w:rPr>
                <w:rFonts w:ascii="Arial" w:hAnsi="Arial" w:cs="Arial"/>
              </w:rPr>
            </w:pPr>
            <w:r>
              <w:rPr>
                <w:rFonts w:cs="Arial" w:ascii="Calibri" w:hAnsi="Calibri"/>
                <w:sz w:val="22"/>
                <w:szCs w:val="22"/>
              </w:rPr>
              <w:t>Presvedčený PCP</w:t>
            </w:r>
          </w:p>
          <w:p>
            <w:pPr>
              <w:pStyle w:val="Normal"/>
              <w:widowControl w:val="false"/>
              <w:rPr>
                <w:rFonts w:ascii="Arial" w:hAnsi="Arial" w:cs="Arial"/>
              </w:rPr>
            </w:pPr>
            <w:r>
              <w:rPr>
                <w:rFonts w:cs="Arial" w:ascii="Calibri" w:hAnsi="Calibri"/>
                <w:sz w:val="22"/>
                <w:szCs w:val="22"/>
              </w:rPr>
              <w:t>Otvorenosť voči komunite a poskytovaniu služieb v komunite</w:t>
            </w:r>
          </w:p>
          <w:p>
            <w:pPr>
              <w:pStyle w:val="Normal"/>
              <w:widowControl w:val="false"/>
              <w:spacing w:before="0" w:after="200"/>
              <w:rPr>
                <w:rFonts w:ascii="Arial" w:hAnsi="Arial" w:cs="Arial"/>
              </w:rPr>
            </w:pPr>
            <w:r>
              <w:rPr>
                <w:rFonts w:cs="Arial" w:ascii="Calibri" w:hAnsi="Calibri"/>
                <w:sz w:val="22"/>
                <w:szCs w:val="22"/>
              </w:rPr>
              <w:t>Inovátor, otvorenosť voči zmenám</w:t>
            </w:r>
          </w:p>
        </w:tc>
        <w:tc>
          <w:tcPr>
            <w:tcW w:w="2900" w:type="dxa"/>
            <w:tcBorders>
              <w:top w:val="single" w:sz="2" w:space="0" w:color="000000"/>
              <w:left w:val="single" w:sz="2" w:space="0" w:color="000000"/>
              <w:bottom w:val="single" w:sz="2" w:space="0" w:color="000000"/>
              <w:right w:val="single" w:sz="2" w:space="0" w:color="000000"/>
            </w:tcBorders>
            <w:shd w:fill="auto" w:val="clear"/>
          </w:tcPr>
          <w:p>
            <w:pPr>
              <w:pStyle w:val="Normal"/>
              <w:widowControl w:val="false"/>
              <w:rPr>
                <w:rFonts w:ascii="Arial" w:hAnsi="Arial" w:cs="Arial"/>
              </w:rPr>
            </w:pPr>
            <w:r>
              <w:rPr>
                <w:rFonts w:cs="Arial" w:ascii="Calibri" w:hAnsi="Calibri"/>
                <w:sz w:val="22"/>
                <w:szCs w:val="22"/>
              </w:rPr>
              <w:t>Partnerský prístup</w:t>
            </w:r>
          </w:p>
          <w:p>
            <w:pPr>
              <w:pStyle w:val="Normal"/>
              <w:widowControl w:val="false"/>
              <w:rPr>
                <w:rFonts w:ascii="Arial" w:hAnsi="Arial" w:cs="Arial"/>
              </w:rPr>
            </w:pPr>
            <w:r>
              <w:rPr>
                <w:rFonts w:cs="Arial" w:ascii="Calibri" w:hAnsi="Calibri"/>
                <w:sz w:val="22"/>
                <w:szCs w:val="22"/>
              </w:rPr>
              <w:t>Rešpektovanie iných a svojej práce</w:t>
            </w:r>
          </w:p>
          <w:p>
            <w:pPr>
              <w:pStyle w:val="Normal"/>
              <w:widowControl w:val="false"/>
              <w:rPr>
                <w:rFonts w:ascii="Arial" w:hAnsi="Arial" w:cs="Arial"/>
              </w:rPr>
            </w:pPr>
            <w:r>
              <w:rPr>
                <w:rFonts w:cs="Arial" w:ascii="Calibri" w:hAnsi="Calibri"/>
                <w:sz w:val="22"/>
                <w:szCs w:val="22"/>
              </w:rPr>
              <w:t>Podporovanie participácie</w:t>
            </w:r>
          </w:p>
          <w:p>
            <w:pPr>
              <w:pStyle w:val="Normal"/>
              <w:widowControl w:val="false"/>
              <w:spacing w:before="0" w:after="200"/>
              <w:jc w:val="both"/>
              <w:rPr>
                <w:rFonts w:ascii="Calibri" w:hAnsi="Calibri" w:cs="Arial"/>
                <w:sz w:val="22"/>
                <w:szCs w:val="22"/>
              </w:rPr>
            </w:pPr>
            <w:r>
              <w:rPr>
                <w:rFonts w:cs="Arial" w:ascii="Calibri" w:hAnsi="Calibri"/>
                <w:sz w:val="22"/>
                <w:szCs w:val="22"/>
              </w:rPr>
            </w:r>
          </w:p>
        </w:tc>
      </w:tr>
    </w:tbl>
    <w:p>
      <w:pPr>
        <w:pStyle w:val="Normal"/>
        <w:widowControl w:val="false"/>
        <w:spacing w:lineRule="auto" w:line="360"/>
        <w:jc w:val="both"/>
        <w:rPr>
          <w:rFonts w:ascii="Calibri" w:hAnsi="Calibri" w:cs="Arial"/>
          <w:sz w:val="22"/>
          <w:szCs w:val="22"/>
        </w:rPr>
      </w:pPr>
      <w:r>
        <w:rPr>
          <w:rFonts w:cs="Arial" w:ascii="Calibri" w:hAnsi="Calibri"/>
          <w:sz w:val="22"/>
          <w:szCs w:val="22"/>
        </w:rPr>
      </w:r>
    </w:p>
    <w:p>
      <w:pPr>
        <w:pStyle w:val="Normal"/>
        <w:widowControl w:val="false"/>
        <w:spacing w:lineRule="auto" w:line="360"/>
        <w:jc w:val="both"/>
        <w:rPr>
          <w:rFonts w:ascii="Arial" w:hAnsi="Arial" w:cs="Arial"/>
          <w:b/>
          <w:b/>
          <w:bCs/>
          <w:sz w:val="22"/>
          <w:szCs w:val="22"/>
        </w:rPr>
      </w:pPr>
      <w:r>
        <w:rPr>
          <w:rFonts w:cs="Arial" w:ascii="Calibri" w:hAnsi="Calibri"/>
          <w:b/>
          <w:bCs/>
          <w:sz w:val="22"/>
          <w:szCs w:val="22"/>
        </w:rPr>
        <w:t>Koordinator IP</w:t>
      </w:r>
    </w:p>
    <w:p>
      <w:pPr>
        <w:pStyle w:val="Normal"/>
        <w:widowControl w:val="false"/>
        <w:numPr>
          <w:ilvl w:val="0"/>
          <w:numId w:val="3"/>
        </w:numPr>
        <w:spacing w:lineRule="auto" w:line="360"/>
        <w:jc w:val="both"/>
        <w:rPr>
          <w:rFonts w:ascii="Arial" w:hAnsi="Arial" w:cs="Arial"/>
          <w:bCs/>
          <w:sz w:val="22"/>
          <w:szCs w:val="22"/>
        </w:rPr>
      </w:pPr>
      <w:r>
        <w:rPr>
          <w:rFonts w:cs="Arial" w:ascii="Calibri" w:hAnsi="Calibri"/>
          <w:bCs/>
          <w:sz w:val="22"/>
          <w:szCs w:val="22"/>
        </w:rPr>
        <w:t>Koordinuje individuálne plánovanie určenej skupiny PSS</w:t>
      </w:r>
    </w:p>
    <w:p>
      <w:pPr>
        <w:pStyle w:val="Normal"/>
        <w:widowControl w:val="false"/>
        <w:numPr>
          <w:ilvl w:val="0"/>
          <w:numId w:val="4"/>
        </w:numPr>
        <w:spacing w:lineRule="auto" w:line="360"/>
        <w:ind w:left="644" w:hanging="360"/>
        <w:jc w:val="both"/>
        <w:rPr>
          <w:rFonts w:ascii="Arial" w:hAnsi="Arial" w:cs="Arial"/>
          <w:sz w:val="22"/>
          <w:szCs w:val="22"/>
        </w:rPr>
      </w:pPr>
      <w:r>
        <w:rPr>
          <w:rFonts w:cs="Arial" w:ascii="Calibri" w:hAnsi="Calibri"/>
          <w:sz w:val="22"/>
          <w:szCs w:val="22"/>
        </w:rPr>
        <w:t>Sleduje procesy IP (od vytvorenia až po vyhodnotenie IP)</w:t>
      </w:r>
    </w:p>
    <w:p>
      <w:pPr>
        <w:pStyle w:val="Normal"/>
        <w:widowControl w:val="false"/>
        <w:numPr>
          <w:ilvl w:val="0"/>
          <w:numId w:val="4"/>
        </w:numPr>
        <w:spacing w:lineRule="auto" w:line="360"/>
        <w:ind w:left="644" w:hanging="360"/>
        <w:jc w:val="both"/>
        <w:rPr>
          <w:rFonts w:ascii="Arial" w:hAnsi="Arial" w:cs="Arial"/>
          <w:sz w:val="22"/>
          <w:szCs w:val="22"/>
        </w:rPr>
      </w:pPr>
      <w:r>
        <w:rPr>
          <w:rFonts w:cs="Arial" w:ascii="Calibri" w:hAnsi="Calibri"/>
          <w:sz w:val="22"/>
          <w:szCs w:val="22"/>
        </w:rPr>
        <w:t>Vytvára podporný tím pre kľúčových zamestnancov  a realizátorov</w:t>
      </w:r>
    </w:p>
    <w:p>
      <w:pPr>
        <w:pStyle w:val="Normal"/>
        <w:widowControl w:val="false"/>
        <w:numPr>
          <w:ilvl w:val="0"/>
          <w:numId w:val="4"/>
        </w:numPr>
        <w:spacing w:lineRule="auto" w:line="360"/>
        <w:ind w:left="644" w:hanging="360"/>
        <w:jc w:val="both"/>
        <w:rPr>
          <w:rFonts w:ascii="Arial" w:hAnsi="Arial" w:cs="Arial"/>
          <w:sz w:val="22"/>
          <w:szCs w:val="22"/>
        </w:rPr>
      </w:pPr>
      <w:r>
        <w:rPr>
          <w:rFonts w:cs="Arial" w:ascii="Calibri" w:hAnsi="Calibri"/>
          <w:sz w:val="22"/>
          <w:szCs w:val="22"/>
        </w:rPr>
        <w:t>Plánuje stretnutia k IP</w:t>
      </w:r>
    </w:p>
    <w:p>
      <w:pPr>
        <w:pStyle w:val="Normal"/>
        <w:widowControl w:val="false"/>
        <w:numPr>
          <w:ilvl w:val="0"/>
          <w:numId w:val="4"/>
        </w:numPr>
        <w:spacing w:lineRule="auto" w:line="360"/>
        <w:ind w:left="644" w:hanging="360"/>
        <w:jc w:val="both"/>
        <w:rPr>
          <w:rFonts w:ascii="Arial" w:hAnsi="Arial" w:cs="Arial"/>
          <w:sz w:val="22"/>
          <w:szCs w:val="22"/>
        </w:rPr>
      </w:pPr>
      <w:r>
        <w:rPr>
          <w:rFonts w:cs="Arial" w:ascii="Calibri" w:hAnsi="Calibri"/>
          <w:sz w:val="22"/>
          <w:szCs w:val="22"/>
        </w:rPr>
        <w:t xml:space="preserve">Vykonáva podporu / konzultácie ohľadom tvorby IP pre kľúčových zamestnancov  </w:t>
      </w:r>
    </w:p>
    <w:p>
      <w:pPr>
        <w:pStyle w:val="Normal"/>
        <w:widowControl w:val="false"/>
        <w:numPr>
          <w:ilvl w:val="0"/>
          <w:numId w:val="4"/>
        </w:numPr>
        <w:spacing w:lineRule="auto" w:line="360"/>
        <w:ind w:left="644" w:hanging="360"/>
        <w:jc w:val="both"/>
        <w:rPr>
          <w:rFonts w:ascii="Arial" w:hAnsi="Arial" w:cs="Arial"/>
          <w:sz w:val="22"/>
          <w:szCs w:val="22"/>
        </w:rPr>
      </w:pPr>
      <w:r>
        <w:rPr>
          <w:rFonts w:cs="Arial" w:ascii="Calibri" w:hAnsi="Calibri"/>
          <w:sz w:val="22"/>
          <w:szCs w:val="22"/>
        </w:rPr>
        <w:t xml:space="preserve">Prenos informácií ku kľúčovým zamestnancom  </w:t>
      </w:r>
    </w:p>
    <w:p>
      <w:pPr>
        <w:pStyle w:val="Normal"/>
        <w:widowControl w:val="false"/>
        <w:numPr>
          <w:ilvl w:val="0"/>
          <w:numId w:val="4"/>
        </w:numPr>
        <w:spacing w:lineRule="auto" w:line="360"/>
        <w:ind w:left="644" w:hanging="360"/>
        <w:jc w:val="both"/>
        <w:rPr>
          <w:rFonts w:ascii="Arial" w:hAnsi="Arial" w:cs="Arial"/>
          <w:sz w:val="22"/>
          <w:szCs w:val="22"/>
        </w:rPr>
      </w:pPr>
      <w:r>
        <w:rPr>
          <w:rFonts w:cs="Arial" w:ascii="Calibri" w:hAnsi="Calibri"/>
          <w:sz w:val="22"/>
          <w:szCs w:val="22"/>
        </w:rPr>
        <w:t>Facilituje prácu kľúčových zamestnancov, motivuje ich</w:t>
      </w:r>
    </w:p>
    <w:p>
      <w:pPr>
        <w:pStyle w:val="Normal"/>
        <w:widowControl w:val="false"/>
        <w:numPr>
          <w:ilvl w:val="0"/>
          <w:numId w:val="4"/>
        </w:numPr>
        <w:spacing w:lineRule="auto" w:line="360"/>
        <w:ind w:left="644" w:hanging="360"/>
        <w:jc w:val="both"/>
        <w:rPr>
          <w:rFonts w:ascii="Arial" w:hAnsi="Arial" w:cs="Arial"/>
          <w:sz w:val="22"/>
          <w:szCs w:val="22"/>
        </w:rPr>
      </w:pPr>
      <w:r>
        <w:rPr>
          <w:rFonts w:cs="Arial" w:ascii="Calibri" w:hAnsi="Calibri"/>
          <w:sz w:val="22"/>
          <w:szCs w:val="22"/>
        </w:rPr>
        <w:t>Komunikuje s vedením zariadenia</w:t>
      </w:r>
    </w:p>
    <w:p>
      <w:pPr>
        <w:pStyle w:val="Normal"/>
        <w:widowControl w:val="false"/>
        <w:numPr>
          <w:ilvl w:val="0"/>
          <w:numId w:val="4"/>
        </w:numPr>
        <w:spacing w:lineRule="auto" w:line="360"/>
        <w:ind w:left="644" w:hanging="360"/>
        <w:jc w:val="both"/>
        <w:rPr>
          <w:rFonts w:ascii="Arial" w:hAnsi="Arial" w:cs="Arial"/>
          <w:sz w:val="22"/>
          <w:szCs w:val="22"/>
        </w:rPr>
      </w:pPr>
      <w:r>
        <w:rPr>
          <w:rFonts w:cs="Arial" w:ascii="Calibri" w:hAnsi="Calibri"/>
          <w:sz w:val="22"/>
          <w:szCs w:val="22"/>
        </w:rPr>
        <w:t xml:space="preserve">Administruje tvorbu IP a celý proces jeho realizácie, pričom využíva prostriedky easy-read a prihliada na to, aby IP bol zrozumiteľný pre prijímateľa </w:t>
      </w:r>
    </w:p>
    <w:p>
      <w:pPr>
        <w:pStyle w:val="Normal"/>
        <w:widowControl w:val="false"/>
        <w:spacing w:lineRule="auto" w:line="360"/>
        <w:jc w:val="both"/>
        <w:rPr>
          <w:rFonts w:ascii="Calibri" w:hAnsi="Calibri" w:cs="Arial"/>
          <w:b/>
          <w:b/>
          <w:bCs/>
          <w:sz w:val="22"/>
          <w:szCs w:val="22"/>
        </w:rPr>
      </w:pPr>
      <w:r>
        <w:rPr>
          <w:rFonts w:cs="Arial" w:ascii="Calibri" w:hAnsi="Calibri"/>
          <w:b/>
          <w:bCs/>
          <w:sz w:val="22"/>
          <w:szCs w:val="22"/>
        </w:rPr>
      </w:r>
    </w:p>
    <w:p>
      <w:pPr>
        <w:pStyle w:val="Normal"/>
        <w:widowControl w:val="false"/>
        <w:spacing w:lineRule="auto" w:line="360"/>
        <w:jc w:val="both"/>
        <w:rPr>
          <w:rFonts w:ascii="Arial" w:hAnsi="Arial" w:cs="Arial"/>
          <w:b/>
          <w:b/>
          <w:bCs/>
          <w:sz w:val="22"/>
          <w:szCs w:val="22"/>
        </w:rPr>
      </w:pPr>
      <w:r>
        <w:rPr>
          <w:rFonts w:cs="Arial" w:ascii="Calibri" w:hAnsi="Calibri"/>
          <w:b/>
          <w:bCs/>
          <w:sz w:val="22"/>
          <w:szCs w:val="22"/>
        </w:rPr>
        <w:t xml:space="preserve">Kľúčový zamestnanec  </w:t>
      </w:r>
    </w:p>
    <w:p>
      <w:pPr>
        <w:pStyle w:val="Normal"/>
        <w:widowControl w:val="false"/>
        <w:spacing w:lineRule="auto" w:line="360"/>
        <w:jc w:val="both"/>
        <w:rPr>
          <w:rFonts w:ascii="Arial" w:hAnsi="Arial" w:cs="Arial"/>
          <w:sz w:val="22"/>
          <w:szCs w:val="22"/>
        </w:rPr>
      </w:pPr>
      <w:r>
        <w:rPr>
          <w:rFonts w:cs="Arial" w:ascii="Calibri" w:hAnsi="Calibri"/>
          <w:sz w:val="22"/>
          <w:szCs w:val="22"/>
        </w:rPr>
        <w:t>Má na starosti  1-5 prijímateľov.</w:t>
      </w:r>
    </w:p>
    <w:p>
      <w:pPr>
        <w:pStyle w:val="Normal"/>
        <w:widowControl w:val="false"/>
        <w:spacing w:lineRule="auto" w:line="360"/>
        <w:ind w:left="360" w:hanging="0"/>
        <w:jc w:val="both"/>
        <w:rPr>
          <w:rFonts w:ascii="Arial" w:hAnsi="Arial" w:cs="Arial"/>
          <w:sz w:val="22"/>
          <w:szCs w:val="22"/>
        </w:rPr>
      </w:pPr>
      <w:r>
        <w:rPr>
          <w:rFonts w:cs="Arial" w:ascii="Calibri" w:hAnsi="Calibri"/>
          <w:sz w:val="22"/>
          <w:szCs w:val="22"/>
        </w:rPr>
        <w:t>Kľúčový zamestnanec aktívne spolupracuje s prijímateľom sociálnej služby, využíva nástroje PCP, podporuje PSS pri napĺňaní cieľov IP</w:t>
      </w:r>
    </w:p>
    <w:p>
      <w:pPr>
        <w:pStyle w:val="Normal"/>
        <w:widowControl w:val="false"/>
        <w:numPr>
          <w:ilvl w:val="0"/>
          <w:numId w:val="5"/>
        </w:numPr>
        <w:spacing w:lineRule="auto" w:line="360"/>
        <w:jc w:val="both"/>
        <w:rPr>
          <w:rFonts w:ascii="Arial" w:hAnsi="Arial" w:cs="Arial"/>
          <w:sz w:val="22"/>
          <w:szCs w:val="22"/>
        </w:rPr>
      </w:pPr>
      <w:r>
        <w:rPr>
          <w:rFonts w:cs="Arial" w:ascii="Calibri" w:hAnsi="Calibri"/>
          <w:sz w:val="22"/>
          <w:szCs w:val="22"/>
        </w:rPr>
        <w:t>Odovzdáva informácie všetkým zúčastnením členom podporného tímu a realizátorom IP,  potrebné pre uskutočnenie IP.</w:t>
      </w:r>
    </w:p>
    <w:p>
      <w:pPr>
        <w:pStyle w:val="Normal"/>
        <w:widowControl w:val="false"/>
        <w:numPr>
          <w:ilvl w:val="0"/>
          <w:numId w:val="5"/>
        </w:numPr>
        <w:spacing w:lineRule="auto" w:line="360"/>
        <w:jc w:val="both"/>
        <w:rPr>
          <w:rFonts w:ascii="Arial" w:hAnsi="Arial" w:cs="Arial"/>
          <w:sz w:val="22"/>
          <w:szCs w:val="22"/>
        </w:rPr>
      </w:pPr>
      <w:r>
        <w:rPr>
          <w:rFonts w:cs="Arial" w:ascii="Calibri" w:hAnsi="Calibri"/>
          <w:sz w:val="22"/>
          <w:szCs w:val="22"/>
        </w:rPr>
        <w:t>Sleduje napĺňanie cieľov IP,  overuje metódy a postupy, monitoruje, reflektuje priebeh realizácie, kontroluje záznamy, podklady, vyhodnocuje plnenie IP</w:t>
      </w:r>
    </w:p>
    <w:p>
      <w:pPr>
        <w:pStyle w:val="Normal"/>
        <w:widowControl w:val="false"/>
        <w:numPr>
          <w:ilvl w:val="0"/>
          <w:numId w:val="5"/>
        </w:numPr>
        <w:spacing w:lineRule="auto" w:line="360"/>
        <w:jc w:val="both"/>
        <w:rPr>
          <w:rFonts w:ascii="Arial" w:hAnsi="Arial" w:cs="Arial"/>
          <w:sz w:val="22"/>
          <w:szCs w:val="22"/>
        </w:rPr>
      </w:pPr>
      <w:r>
        <w:rPr>
          <w:rFonts w:cs="Arial" w:ascii="Calibri" w:hAnsi="Calibri"/>
          <w:sz w:val="22"/>
          <w:szCs w:val="22"/>
        </w:rPr>
        <w:t>Spolupracuje s koordinátorom, realizátormi – zamestnancami a ďalšími osobami, ktoré na tvorbe IP participujú v rámci podporných skupín prijímateľov</w:t>
      </w:r>
    </w:p>
    <w:p>
      <w:pPr>
        <w:pStyle w:val="Normal"/>
        <w:widowControl w:val="false"/>
        <w:spacing w:lineRule="auto" w:line="360"/>
        <w:jc w:val="both"/>
        <w:rPr>
          <w:rFonts w:ascii="Calibri" w:hAnsi="Calibri" w:cs="Arial"/>
          <w:sz w:val="22"/>
          <w:szCs w:val="22"/>
        </w:rPr>
      </w:pPr>
      <w:r>
        <w:rPr>
          <w:rFonts w:cs="Arial" w:ascii="Calibri" w:hAnsi="Calibri"/>
          <w:sz w:val="22"/>
          <w:szCs w:val="22"/>
        </w:rPr>
      </w:r>
    </w:p>
    <w:p>
      <w:pPr>
        <w:pStyle w:val="Normal"/>
        <w:widowControl w:val="false"/>
        <w:spacing w:lineRule="auto" w:line="360"/>
        <w:jc w:val="both"/>
        <w:rPr>
          <w:rFonts w:ascii="Arial" w:hAnsi="Arial" w:cs="Arial"/>
          <w:b/>
          <w:b/>
          <w:bCs/>
          <w:sz w:val="22"/>
        </w:rPr>
      </w:pPr>
      <w:r>
        <w:rPr>
          <w:rFonts w:cs="Arial" w:ascii="Calibri" w:hAnsi="Calibri"/>
          <w:b/>
          <w:bCs/>
          <w:sz w:val="22"/>
          <w:szCs w:val="22"/>
        </w:rPr>
        <w:t>Realizátor IP</w:t>
      </w:r>
    </w:p>
    <w:p>
      <w:pPr>
        <w:pStyle w:val="Normal"/>
        <w:widowControl w:val="false"/>
        <w:numPr>
          <w:ilvl w:val="0"/>
          <w:numId w:val="5"/>
        </w:numPr>
        <w:spacing w:lineRule="auto" w:line="360"/>
        <w:jc w:val="both"/>
        <w:rPr>
          <w:rFonts w:ascii="Arial" w:hAnsi="Arial" w:cs="Arial"/>
          <w:sz w:val="22"/>
          <w:szCs w:val="22"/>
        </w:rPr>
      </w:pPr>
      <w:r>
        <w:rPr>
          <w:rFonts w:cs="Arial" w:ascii="Calibri" w:hAnsi="Calibri"/>
          <w:sz w:val="22"/>
          <w:szCs w:val="22"/>
        </w:rPr>
        <w:t>Realizuje ciele a úlohy vyplývajúce z IP</w:t>
      </w:r>
    </w:p>
    <w:p>
      <w:pPr>
        <w:pStyle w:val="Normal"/>
        <w:widowControl w:val="false"/>
        <w:numPr>
          <w:ilvl w:val="0"/>
          <w:numId w:val="5"/>
        </w:numPr>
        <w:spacing w:lineRule="auto" w:line="360"/>
        <w:jc w:val="both"/>
        <w:rPr>
          <w:rFonts w:ascii="Arial" w:hAnsi="Arial" w:cs="Arial"/>
          <w:sz w:val="22"/>
          <w:szCs w:val="22"/>
        </w:rPr>
      </w:pPr>
      <w:r>
        <w:rPr>
          <w:rFonts w:cs="Arial" w:ascii="Calibri" w:hAnsi="Calibri"/>
          <w:sz w:val="22"/>
          <w:szCs w:val="22"/>
        </w:rPr>
        <w:t>Zaznamenáva činnosti, pripravuje podkladové materiály pre IP, napr. fotodokumentáciu, videozáznamy, easy-read pomôcky, materiál  a pod.</w:t>
      </w:r>
    </w:p>
    <w:p>
      <w:pPr>
        <w:pStyle w:val="Normal"/>
        <w:widowControl w:val="false"/>
        <w:numPr>
          <w:ilvl w:val="0"/>
          <w:numId w:val="5"/>
        </w:numPr>
        <w:spacing w:lineRule="auto" w:line="360"/>
        <w:jc w:val="both"/>
        <w:rPr>
          <w:rFonts w:ascii="Arial" w:hAnsi="Arial" w:cs="Arial"/>
          <w:sz w:val="22"/>
          <w:szCs w:val="22"/>
        </w:rPr>
      </w:pPr>
      <w:r>
        <w:rPr>
          <w:rFonts w:cs="Arial" w:ascii="Calibri" w:hAnsi="Calibri"/>
          <w:sz w:val="22"/>
          <w:szCs w:val="22"/>
        </w:rPr>
        <w:t xml:space="preserve">Spolupracuje pri vyhodnocovaní IP </w:t>
      </w:r>
    </w:p>
    <w:p>
      <w:pPr>
        <w:pStyle w:val="Normal"/>
        <w:widowControl w:val="false"/>
        <w:spacing w:lineRule="auto" w:line="360"/>
        <w:jc w:val="both"/>
        <w:rPr>
          <w:rFonts w:ascii="Calibri" w:hAnsi="Calibri" w:cs="Arial"/>
          <w:sz w:val="22"/>
          <w:szCs w:val="22"/>
        </w:rPr>
      </w:pPr>
      <w:r>
        <w:rPr>
          <w:rFonts w:cs="Arial" w:ascii="Calibri" w:hAnsi="Calibri"/>
          <w:sz w:val="22"/>
          <w:szCs w:val="22"/>
        </w:rPr>
      </w:r>
    </w:p>
    <w:p>
      <w:pPr>
        <w:pStyle w:val="Normal"/>
        <w:widowControl w:val="false"/>
        <w:spacing w:lineRule="auto" w:line="360"/>
        <w:jc w:val="both"/>
        <w:rPr>
          <w:rFonts w:ascii="Calibri" w:hAnsi="Calibri" w:cs="Arial"/>
          <w:sz w:val="22"/>
          <w:szCs w:val="22"/>
        </w:rPr>
      </w:pPr>
      <w:r>
        <w:rPr>
          <w:rFonts w:cs="Arial" w:ascii="Calibri" w:hAnsi="Calibri"/>
          <w:sz w:val="22"/>
          <w:szCs w:val="22"/>
        </w:rPr>
      </w:r>
    </w:p>
    <w:p>
      <w:pPr>
        <w:pStyle w:val="Normal"/>
        <w:spacing w:lineRule="auto" w:line="360"/>
        <w:jc w:val="both"/>
        <w:rPr>
          <w:rFonts w:ascii="Calibri" w:hAnsi="Calibri" w:cs="Arial"/>
          <w:sz w:val="22"/>
          <w:szCs w:val="22"/>
        </w:rPr>
      </w:pPr>
      <w:r>
        <w:rPr>
          <w:rFonts w:cs="Arial" w:ascii="Calibri" w:hAnsi="Calibri"/>
          <w:sz w:val="22"/>
          <w:szCs w:val="22"/>
        </w:rPr>
      </w:r>
    </w:p>
    <w:p>
      <w:pPr>
        <w:pStyle w:val="Normal"/>
        <w:spacing w:lineRule="auto" w:line="360" w:before="0" w:after="0"/>
        <w:jc w:val="both"/>
        <w:rPr>
          <w:rFonts w:ascii="Calibri" w:hAnsi="Calibri" w:cs="Arial"/>
          <w:sz w:val="22"/>
          <w:szCs w:val="22"/>
        </w:rPr>
      </w:pPr>
      <w:r>
        <w:rPr>
          <w:rFonts w:cs="Arial" w:ascii="Calibri" w:hAnsi="Calibri"/>
          <w:sz w:val="22"/>
          <w:szCs w:val="22"/>
        </w:rPr>
      </w:r>
    </w:p>
    <w:p>
      <w:pPr>
        <w:pStyle w:val="Normal"/>
        <w:spacing w:lineRule="auto" w:line="360" w:before="0" w:after="0"/>
        <w:jc w:val="both"/>
        <w:rPr>
          <w:rFonts w:ascii="Calibri" w:hAnsi="Calibri"/>
          <w:sz w:val="22"/>
          <w:szCs w:val="22"/>
        </w:rPr>
      </w:pPr>
      <w:r>
        <w:rPr>
          <w:rFonts w:ascii="Calibri" w:hAnsi="Calibri"/>
          <w:sz w:val="22"/>
          <w:szCs w:val="22"/>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Cambria">
    <w:charset w:val="ee"/>
    <w:family w:val="roman"/>
    <w:pitch w:val="variable"/>
  </w:font>
  <w:font w:name="Calibri">
    <w:charset w:val="01"/>
    <w:family w:val="swiss"/>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200" w:hanging="360"/>
      </w:pPr>
      <w:rPr>
        <w:rFonts w:ascii="Symbol" w:hAnsi="Symbol" w:cs="Symbol" w:hint="default"/>
      </w:rPr>
    </w:lvl>
    <w:lvl w:ilvl="1">
      <w:start w:val="1"/>
      <w:numFmt w:val="bullet"/>
      <w:lvlText w:val="o"/>
      <w:lvlJc w:val="left"/>
      <w:pPr>
        <w:ind w:left="1920" w:hanging="360"/>
      </w:pPr>
      <w:rPr>
        <w:rFonts w:ascii="Courier New" w:hAnsi="Courier New" w:cs="Courier New" w:hint="default"/>
        <w:rFonts w:cs="Times New Roman"/>
      </w:rPr>
    </w:lvl>
    <w:lvl w:ilvl="2">
      <w:start w:val="1"/>
      <w:numFmt w:val="bullet"/>
      <w:lvlText w:val=""/>
      <w:lvlJc w:val="left"/>
      <w:pPr>
        <w:ind w:left="2640" w:hanging="360"/>
      </w:pPr>
      <w:rPr>
        <w:rFonts w:ascii="Wingdings" w:hAnsi="Wingdings" w:cs="Wingdings" w:hint="default"/>
      </w:rPr>
    </w:lvl>
    <w:lvl w:ilvl="3">
      <w:start w:val="1"/>
      <w:numFmt w:val="bullet"/>
      <w:lvlText w:val=""/>
      <w:lvlJc w:val="left"/>
      <w:pPr>
        <w:ind w:left="3360" w:hanging="360"/>
      </w:pPr>
      <w:rPr>
        <w:rFonts w:ascii="Symbol" w:hAnsi="Symbol" w:cs="Symbol" w:hint="default"/>
      </w:rPr>
    </w:lvl>
    <w:lvl w:ilvl="4">
      <w:start w:val="1"/>
      <w:numFmt w:val="bullet"/>
      <w:lvlText w:val="o"/>
      <w:lvlJc w:val="left"/>
      <w:pPr>
        <w:ind w:left="4080" w:hanging="360"/>
      </w:pPr>
      <w:rPr>
        <w:rFonts w:ascii="Courier New" w:hAnsi="Courier New" w:cs="Courier New" w:hint="default"/>
        <w:rFonts w:cs="Times New Roman"/>
      </w:rPr>
    </w:lvl>
    <w:lvl w:ilvl="5">
      <w:start w:val="1"/>
      <w:numFmt w:val="bullet"/>
      <w:lvlText w:val=""/>
      <w:lvlJc w:val="left"/>
      <w:pPr>
        <w:ind w:left="4800" w:hanging="360"/>
      </w:pPr>
      <w:rPr>
        <w:rFonts w:ascii="Wingdings" w:hAnsi="Wingdings" w:cs="Wingdings" w:hint="default"/>
      </w:rPr>
    </w:lvl>
    <w:lvl w:ilvl="6">
      <w:start w:val="1"/>
      <w:numFmt w:val="bullet"/>
      <w:lvlText w:val=""/>
      <w:lvlJc w:val="left"/>
      <w:pPr>
        <w:ind w:left="5520" w:hanging="360"/>
      </w:pPr>
      <w:rPr>
        <w:rFonts w:ascii="Symbol" w:hAnsi="Symbol" w:cs="Symbol" w:hint="default"/>
      </w:rPr>
    </w:lvl>
    <w:lvl w:ilvl="7">
      <w:start w:val="1"/>
      <w:numFmt w:val="bullet"/>
      <w:lvlText w:val="o"/>
      <w:lvlJc w:val="left"/>
      <w:pPr>
        <w:ind w:left="6240" w:hanging="360"/>
      </w:pPr>
      <w:rPr>
        <w:rFonts w:ascii="Courier New" w:hAnsi="Courier New" w:cs="Courier New" w:hint="default"/>
        <w:rFonts w:cs="Times New Roman"/>
      </w:rPr>
    </w:lvl>
    <w:lvl w:ilvl="8">
      <w:start w:val="1"/>
      <w:numFmt w:val="bullet"/>
      <w:lvlText w:val=""/>
      <w:lvlJc w:val="left"/>
      <w:pPr>
        <w:ind w:left="6960" w:hanging="360"/>
      </w:pPr>
      <w:rPr>
        <w:rFonts w:ascii="Wingdings" w:hAnsi="Wingdings" w:cs="Wingdings" w:hint="default"/>
      </w:rPr>
    </w:lvl>
  </w:abstractNum>
  <w:abstractNum w:abstractNumId="2">
    <w:lvl w:ilvl="0">
      <w:start w:val="1"/>
      <w:numFmt w:val="decimal"/>
      <w:lvlText w:val="%1."/>
      <w:lvlJc w:val="left"/>
      <w:pPr>
        <w:ind w:left="720" w:hanging="360"/>
      </w:pPr>
      <w:rPr>
        <w:sz w:val="22"/>
        <w:b/>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bullet"/>
      <w:lvlText w:val=""/>
      <w:lvlJc w:val="left"/>
      <w:pPr>
        <w:ind w:left="64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Times New Roman"/>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Times New Roman"/>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Times New Roman"/>
      </w:rPr>
    </w:lvl>
    <w:lvl w:ilvl="8">
      <w:start w:val="1"/>
      <w:numFmt w:val="bullet"/>
      <w:lvlText w:val=""/>
      <w:lvlJc w:val="left"/>
      <w:pPr>
        <w:ind w:left="6480" w:hanging="360"/>
      </w:pPr>
      <w:rPr>
        <w:rFonts w:ascii="Wingdings" w:hAnsi="Wingdings" w:cs="Wingdings" w:hint="default"/>
      </w:rPr>
    </w:lvl>
  </w:abstractNum>
  <w:abstractNum w:abstractNumId="4">
    <w:lvl w:ilvl="0">
      <w:numFmt w:val="bullet"/>
      <w:lvlText w:val=""/>
      <w:lvlJc w:val="left"/>
      <w:pPr>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25cb7"/>
    <w:pPr>
      <w:widowControl/>
      <w:bidi w:val="0"/>
      <w:spacing w:lineRule="auto" w:line="276" w:before="0" w:after="200"/>
      <w:jc w:val="left"/>
    </w:pPr>
    <w:rPr>
      <w:rFonts w:ascii="Times New Roman" w:hAnsi="Times New Roman" w:cs="Times New Roman" w:eastAsia="Calibri" w:eastAsiaTheme="minorHAnsi"/>
      <w:color w:val="auto"/>
      <w:kern w:val="0"/>
      <w:sz w:val="24"/>
      <w:szCs w:val="24"/>
      <w:lang w:val="sk-SK"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velopereturn">
    <w:name w:val="envelope return"/>
    <w:basedOn w:val="Normal"/>
    <w:uiPriority w:val="99"/>
    <w:semiHidden/>
    <w:unhideWhenUsed/>
    <w:qFormat/>
    <w:rsid w:val="002735e3"/>
    <w:pPr>
      <w:spacing w:lineRule="auto" w:line="240" w:before="0" w:after="0"/>
    </w:pPr>
    <w:rPr>
      <w:rFonts w:ascii="Cambria" w:hAnsi="Cambria" w:eastAsia="" w:cs="" w:asciiTheme="majorHAnsi" w:cstheme="majorBidi" w:eastAsiaTheme="majorEastAsia" w:hAnsiTheme="majorHAnsi"/>
      <w:sz w:val="20"/>
      <w:szCs w:val="20"/>
    </w:rPr>
  </w:style>
  <w:style w:type="paragraph" w:styleId="ListParagraph">
    <w:name w:val="List Paragraph"/>
    <w:basedOn w:val="Normal"/>
    <w:uiPriority w:val="34"/>
    <w:qFormat/>
    <w:rsid w:val="00b25cb7"/>
    <w:pPr>
      <w:spacing w:before="0" w:after="200"/>
      <w:ind w:left="720" w:hanging="0"/>
      <w:contextualSpacing/>
    </w:pPr>
    <w:rPr>
      <w:rFonts w:eastAsia="Calibri"/>
      <w:szCs w:val="22"/>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LibreOffice/6.3.3.2$Windows_X86_64 LibreOffice_project/a64200df03143b798afd1ec74a12ab50359878ed</Application>
  <Pages>5</Pages>
  <Words>1141</Words>
  <Characters>6505</Characters>
  <CharactersWithSpaces>7631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2018-07-10T08:56:00Z</dcterms:created>
  <dc:creator>pc</dc:creator>
  <dc:description/>
  <dc:language>sk-SK</dc:language>
  <cp:lastModifiedBy/>
  <dcterms:modified xsi:type="dcterms:W3CDTF">2020-12-10T11:51:16Z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