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408"/>
          <w:tab w:val="left" w:pos="-8100" w:leader="none"/>
        </w:tabs>
        <w:spacing w:before="0" w:after="0"/>
        <w:contextualSpacing/>
        <w:jc w:val="both"/>
        <w:textAlignment w:val="auto"/>
        <w:rPr>
          <w:lang w:val="sk-SK"/>
        </w:rPr>
      </w:pPr>
      <w:r>
        <w:rPr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ind w:hanging="0"/>
        <w:contextualSpacing/>
        <w:jc w:val="both"/>
        <w:textAlignment w:val="auto"/>
        <w:rPr/>
      </w:pPr>
      <w:r>
        <w:rPr>
          <w:rFonts w:cs="Times New Roman"/>
          <w:b/>
          <w:bCs/>
          <w:lang w:val="sk-SK"/>
        </w:rPr>
        <w:t>Krízový tím u</w:t>
      </w:r>
      <w:r>
        <w:rPr>
          <w:rFonts w:cs="Times New Roman"/>
          <w:lang w:val="sk-SK"/>
        </w:rPr>
        <w:t xml:space="preserve">rčí činnosti, ktoré sa počas núdzového stavu v súvislost s COVID-19  budú vykonávať a ktoré sa nebudú vykonávať jednotlivými zamestnancami zariadenia. </w:t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ind w:hanging="0"/>
        <w:contextualSpacing/>
        <w:jc w:val="both"/>
        <w:textAlignment w:val="auto"/>
        <w:rPr/>
      </w:pPr>
      <w:r>
        <w:rPr>
          <w:rFonts w:cs="Times New Roman"/>
          <w:lang w:val="sk-SK"/>
        </w:rPr>
        <w:t xml:space="preserve">V krízovom riadení nie je možné zabezpečiť chod všetkých činností organizácie, preto  krízový tím rozhodne po dohode  s vedúcimi, činností, ktoré činnosti sa budú v mimoriadnej situácii vykonávať a ktoré po dobu určitú (počas mimoriadnej udalosti) vykonávané nebudú. </w:t>
      </w:r>
    </w:p>
    <w:p>
      <w:pPr>
        <w:pStyle w:val="ListParagraph"/>
        <w:widowControl/>
        <w:numPr>
          <w:ilvl w:val="0"/>
          <w:numId w:val="0"/>
        </w:numPr>
        <w:tabs>
          <w:tab w:val="clear" w:pos="408"/>
          <w:tab w:val="left" w:pos="-8100" w:leader="none"/>
        </w:tabs>
        <w:spacing w:lineRule="auto" w:line="360" w:before="0" w:after="160"/>
        <w:ind w:left="1440" w:hanging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408"/>
          <w:tab w:val="left" w:pos="-8100" w:leader="none"/>
        </w:tabs>
        <w:spacing w:lineRule="auto" w:line="360" w:before="0" w:after="160"/>
        <w:ind w:left="1440" w:hanging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4"/>
        <w:gridCol w:w="3345"/>
        <w:gridCol w:w="3463"/>
      </w:tblGrid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Názov úseku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Nebudú vykonávané činnosti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Budú vykonávané činnosti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Úsek riaditeľa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453" w:hRule="atLeast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riaditeľka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Kontrolné činnosti- plán kontrol, audity, OP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Všetky manžérske činnosti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HAP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Registartúta dokumentov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v ŠP-úhrady,faktúry, mzdy, odvody,hotovost.plat.styk vo VUB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ISPIN evidencia faktúr,podklady k mesačnej závierke, finančná kontrola, odvody ZO SLOVES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Fabasoft, evidencia doručenej a odoslanej pošty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ekonómka, MK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Všetky činnosti MK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Personálna agenda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Účtovné zavierky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mzdárka, prevádzkárka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Evidencia formulárov HCCP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Mzdová agenda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Umývanie mraziakov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Objednávanie potravín, surovín, dezinf. prostriedkov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Zdravotný úsek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Úsekové porady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Vedenie záíznamov pri akútnych zmenách zdrav.stavu PSS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Plánované vzdelávanie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Záznam o výkone  služby na zdravotnom úseku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Plánované kontroly- podľa plánu kontrol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Predpis liekov a inkontinentných pomôcok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Vedenie oše procesu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Hygiena PSS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Realizovanie oše auditov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Hygiena prostredia, dezinfekcia, sanitácia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Inventarizácia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Sociálny úsek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IP, dokumentovanie činnosti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Individuálna práca s PSS, soc.rehab.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Individuálne nákupy PSS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Úhrady za poskyt.soc.službu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Nácvik tréningového bývania a všetky činnosti s tým spojené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Antistresové a copingové metódy práce s PSS</w:t>
            </w:r>
          </w:p>
        </w:tc>
      </w:tr>
    </w:tbl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widowControl/>
        <w:tabs>
          <w:tab w:val="clear" w:pos="408"/>
          <w:tab w:val="left" w:pos="-8100" w:leader="none"/>
        </w:tabs>
        <w:spacing w:lineRule="auto" w:line="360" w:before="0" w:after="0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16"/>
        <w:szCs w:val="14"/>
      </w:rPr>
    </w:pPr>
    <w:r>
      <w:rPr>
        <w:sz w:val="16"/>
        <w:szCs w:val="14"/>
      </w:rPr>
      <w:t>KPL-_20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>
        <w:lang w:val="sk-SK"/>
      </w:rPr>
    </w:pPr>
    <w:r>
      <w:rPr>
        <w:lang w:val="sk-SK"/>
      </w:rPr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Určenie vykonávania  odborných a obslužných činností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34d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c46b59"/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character" w:styleId="PtaChar" w:customStyle="1">
    <w:name w:val="Päta Char"/>
    <w:basedOn w:val="DefaultParagraphFont"/>
    <w:link w:val="Pta"/>
    <w:uiPriority w:val="99"/>
    <w:qFormat/>
    <w:rsid w:val="00c46b59"/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character" w:styleId="ZkladntextChar" w:customStyle="1">
    <w:name w:val="Základný text Char"/>
    <w:basedOn w:val="DefaultParagraphFont"/>
    <w:link w:val="Zkladntext"/>
    <w:qFormat/>
    <w:rsid w:val="00fb5660"/>
    <w:rPr>
      <w:rFonts w:ascii="Times New Roman" w:hAnsi="Times New Roman" w:eastAsia="Lucida Sans Unicode" w:cs="Times New Roman"/>
      <w:kern w:val="2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semiHidden/>
    <w:qFormat/>
    <w:rsid w:val="006f555a"/>
    <w:rPr>
      <w:rFonts w:eastAsia="Times New Roman" w:cs="Times New Roman"/>
      <w:bCs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c355a2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fb5660"/>
    <w:pPr>
      <w:spacing w:before="0" w:after="120"/>
      <w:textAlignment w:val="auto"/>
    </w:pPr>
    <w:rPr>
      <w:rFonts w:eastAsia="Lucida Sans Unicode" w:cs="Times New Roman"/>
      <w:lang w:val="sk-SK" w:eastAsia="sk-SK" w:bidi="ar-SA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4d57"/>
    <w:pPr>
      <w:spacing w:before="0" w:after="160"/>
      <w:ind w:left="720" w:hanging="0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c46b59"/>
    <w:pPr>
      <w:tabs>
        <w:tab w:val="clear" w:pos="408"/>
        <w:tab w:val="center" w:pos="4513" w:leader="none"/>
        <w:tab w:val="right" w:pos="9026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46b59"/>
    <w:pPr>
      <w:tabs>
        <w:tab w:val="clear" w:pos="408"/>
        <w:tab w:val="center" w:pos="4513" w:leader="none"/>
        <w:tab w:val="right" w:pos="9026" w:leader="none"/>
      </w:tabs>
    </w:pPr>
    <w:rPr/>
  </w:style>
  <w:style w:type="paragraph" w:styleId="Poznmkapodiarou">
    <w:name w:val="Footnote Text"/>
    <w:basedOn w:val="Normal"/>
    <w:link w:val="TextpoznmkypodiarouChar"/>
    <w:semiHidden/>
    <w:rsid w:val="006f555a"/>
    <w:pPr>
      <w:suppressAutoHyphens w:val="false"/>
      <w:spacing w:lineRule="auto" w:line="276" w:beforeAutospacing="1" w:afterAutospacing="1"/>
      <w:ind w:firstLine="284"/>
      <w:textAlignment w:val="auto"/>
    </w:pPr>
    <w:rPr>
      <w:rFonts w:ascii="Calibri" w:hAnsi="Calibri" w:eastAsia="Times New Roman" w:cs="Times New Roman" w:asciiTheme="minorHAnsi" w:hAnsiTheme="minorHAnsi"/>
      <w:bCs/>
      <w:kern w:val="0"/>
      <w:sz w:val="20"/>
      <w:szCs w:val="20"/>
      <w:lang w:val="sk-SK" w:eastAsia="cs-CZ" w:bidi="ar-SA"/>
    </w:rPr>
  </w:style>
  <w:style w:type="paragraph" w:styleId="Obsahtabuky">
    <w:name w:val="Obsah tabuľk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c46b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2</Pages>
  <Words>226</Words>
  <Characters>1513</Characters>
  <CharactersWithSpaces>1698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2020-04-10T19:07:00Z</dcterms:created>
  <dc:creator>DSS14</dc:creator>
  <dc:description/>
  <dc:language>sk-SK</dc:language>
  <cp:lastModifiedBy/>
  <dcterms:modified xsi:type="dcterms:W3CDTF">2020-05-12T10:02:56Z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